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rPr>
          <w:rFonts w:ascii="Arial" w:cs="Arial" w:eastAsia="Arial" w:hAnsi="Arial"/>
          <w:b/>
          <w:bCs/>
          <w:color w:val="1F7A4D"/>
          <w:sz w:val="36"/>
          <w:szCs w:val="36"/>
        </w:rPr>
        <w:t xml:space="preserve">Registration Management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Feature Group: </w:t>
      </w: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F) Tournament &amp; Competition Management</w:t>
      </w:r>
    </w:p>
    <w:p>
      <w:pPr>
        <w:spacing w:after="3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Platform: </w:t>
      </w:r>
      <w:r>
        <w:rPr>
          <w:rFonts w:ascii="Arial" w:cs="Arial" w:eastAsia="Arial" w:hAnsi="Arial"/>
          <w:sz w:val="22"/>
          <w:szCs w:val="22"/>
        </w:rPr>
        <w:t xml:space="preserve">EcoSkiller — Institute Module</w:t>
      </w:r>
    </w:p>
    <w:p>
      <w:pPr>
        <w:pBdr>
          <w:bottom w:val="single" w:color="1F7A4D" w:sz="6" w:space="1"/>
        </w:pBdr>
        <w:spacing w:after="300"/>
      </w:pPr>
    </w:p>
    <w:p>
      <w:pPr>
        <w:pStyle w:val="Heading2"/>
        <w:spacing w:after="15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Overview</w:t>
      </w:r>
    </w:p>
    <w:p>
      <w:pPr>
        <w:spacing w:after="300"/>
      </w:pPr>
      <w:r>
        <w:rPr>
          <w:rFonts w:ascii="Arial" w:cs="Arial" w:eastAsia="Arial" w:hAnsi="Arial"/>
          <w:sz w:val="22"/>
          <w:szCs w:val="22"/>
        </w:rPr>
        <w:t xml:space="preserve">Tournament registration determines who competes and validates eligibility. Proper registration management prevents chaos on competition day and ensures fairness from the start.</w:t>
      </w:r>
    </w:p>
    <w:p>
      <w:pPr>
        <w:pStyle w:val="Heading2"/>
        <w:spacing w:after="15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Detailed Functionality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Self-Registration by Students: </w:t>
      </w:r>
      <w:r>
        <w:rPr>
          <w:rFonts w:ascii="Arial" w:cs="Arial" w:eastAsia="Arial" w:hAnsi="Arial"/>
          <w:sz w:val="22"/>
          <w:szCs w:val="22"/>
        </w:rPr>
        <w:t xml:space="preserve">Students browse available tournaments in their Dojo dashboard and register with a single click. Registration confirmation is immediate. Student receives email and in-app confirmation with event details.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Eligibility Auto-Check: </w:t>
      </w:r>
      <w:r>
        <w:rPr>
          <w:rFonts w:ascii="Arial" w:cs="Arial" w:eastAsia="Arial" w:hAnsi="Arial"/>
          <w:sz w:val="22"/>
          <w:szCs w:val="22"/>
        </w:rPr>
        <w:t xml:space="preserve">When a student tries to register, platform instantly checks all eligibility criteria. Ineligible students see a clear message — "You are not eligible because: CGPA below 7.0" — not a generic rejection.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Team Registration Flow: </w:t>
      </w:r>
      <w:r>
        <w:rPr>
          <w:rFonts w:ascii="Arial" w:cs="Arial" w:eastAsia="Arial" w:hAnsi="Arial"/>
          <w:sz w:val="22"/>
          <w:szCs w:val="22"/>
        </w:rPr>
        <w:t xml:space="preserve">For team tournaments, the team creator sends invitations to team members through the platform. Each invited member accepts or declines. Team is confirmed only when all required members have accepted.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Registration Fee Collection: </w:t>
      </w:r>
      <w:r>
        <w:rPr>
          <w:rFonts w:ascii="Arial" w:cs="Arial" w:eastAsia="Arial" w:hAnsi="Arial"/>
          <w:sz w:val="22"/>
          <w:szCs w:val="22"/>
        </w:rPr>
        <w:t xml:space="preserve">If there is a registration fee, it is collected digitally during registration — UPI, Net Banking, or debit card. Receipt is auto-generated. Cash payments are not accepted to ensure clean records.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Waitlist Management: </w:t>
      </w:r>
      <w:r>
        <w:rPr>
          <w:rFonts w:ascii="Arial" w:cs="Arial" w:eastAsia="Arial" w:hAnsi="Arial"/>
          <w:sz w:val="22"/>
          <w:szCs w:val="22"/>
        </w:rPr>
        <w:t xml:space="preserve">If tournament is oversubscribed (more registrations than capacity), extra registrants go to a waitlist. When a confirmed registrant drops out, the first waitlisted student is auto-confirmed and notified.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Withdrawal Process: </w:t>
      </w:r>
      <w:r>
        <w:rPr>
          <w:rFonts w:ascii="Arial" w:cs="Arial" w:eastAsia="Arial" w:hAnsi="Arial"/>
          <w:sz w:val="22"/>
          <w:szCs w:val="22"/>
        </w:rPr>
        <w:t xml:space="preserve">Students can withdraw from a tournament until 48 hours before the event. After that, withdrawal is not allowed. If withdrawn before deadline, any registration fee may be refunded per institute policy.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Registration Analytics: </w:t>
      </w:r>
      <w:r>
        <w:rPr>
          <w:rFonts w:ascii="Arial" w:cs="Arial" w:eastAsia="Arial" w:hAnsi="Arial"/>
          <w:sz w:val="22"/>
          <w:szCs w:val="22"/>
        </w:rPr>
        <w:t xml:space="preserve">Institute sees registration data — total registered, department-wise breakdown, whether registration is meeting targets. For low-registration events, admin can extend deadline or promote within the platform.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Pre-Event Communication: </w:t>
      </w:r>
      <w:r>
        <w:rPr>
          <w:rFonts w:ascii="Arial" w:cs="Arial" w:eastAsia="Arial" w:hAnsi="Arial"/>
          <w:sz w:val="22"/>
          <w:szCs w:val="22"/>
        </w:rPr>
        <w:t xml:space="preserve">Registered participants receive pre-event briefing — venue, timing, rules, what to bring, judging criteria. All communication is tracked. No participant can claim they were not informed.</w:t>
      </w:r>
    </w:p>
    <w:p>
      <w:pPr>
        <w:spacing w:after="300"/>
      </w:pPr>
    </w:p>
    <w:p>
      <w:pPr>
        <w:pBdr>
          <w:top w:val="single" w:color="CCCCCC" w:sz="4" w:space="1"/>
        </w:pBdr>
        <w:spacing w:before="20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EcoSkiller Platform — Institute Research Documentation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00"/>
      <w:outlineLvl w:val="0"/>
    </w:pPr>
    <w:rPr>
      <w:rFonts w:ascii="Arial" w:cs="Arial" w:eastAsia="Arial" w:hAnsi="Arial"/>
      <w:b/>
      <w:bCs/>
      <w:color w:val="1F7A4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180" w:after="15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2026-03-09T07:16:39.682Z</dcterms:created>
  <dcterms:modified xsi:type="dcterms:W3CDTF">2026-03-09T07:16:39.682Z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