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Crisis Management Dashboard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J) Communication &amp; Governance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Crises — mass placement fraud, a company reneging on offers, a student safety incident, a natural disaster — require rapid, coordinated response. The Crisis Management Dashboard gives institute leadership a single command center during emergencies.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Crisis Declaration: </w:t>
      </w:r>
      <w:r>
        <w:rPr>
          <w:rFonts w:ascii="Arial" w:cs="Arial" w:eastAsia="Arial" w:hAnsi="Arial"/>
          <w:sz w:val="22"/>
          <w:szCs w:val="22"/>
        </w:rPr>
        <w:t xml:space="preserve">Principal or Super Admin declares a crisis through the platform — selects crisis type (Placement Fraud, Safety Incident, Natural Disaster, Health Emergency, Media Crisis) and activates the Crisis Dashboard. Activation sends immediate alerts to all relevant internal stakeholders.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Affected Population Identification: </w:t>
      </w:r>
      <w:r>
        <w:rPr>
          <w:rFonts w:ascii="Arial" w:cs="Arial" w:eastAsia="Arial" w:hAnsi="Arial"/>
          <w:sz w:val="22"/>
          <w:szCs w:val="22"/>
        </w:rPr>
        <w:t xml:space="preserve">Platform immediately identifies and lists who is affected by the crisis — which students, which batch, which department, which faculty. Affected population is the starting point for all crisis communication and support.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Bulk Crisis Communication: </w:t>
      </w:r>
      <w:r>
        <w:rPr>
          <w:rFonts w:ascii="Arial" w:cs="Arial" w:eastAsia="Arial" w:hAnsi="Arial"/>
          <w:sz w:val="22"/>
          <w:szCs w:val="22"/>
        </w:rPr>
        <w:t xml:space="preserve">One-click bulk communication to all affected parties and their parents — "We are aware of the situation. Here is what we know. Here is what we are doing. Here is what you should do." Rapid, accurate, and coordinated communication prevents panic.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Action Item Tracking: </w:t>
      </w:r>
      <w:r>
        <w:rPr>
          <w:rFonts w:ascii="Arial" w:cs="Arial" w:eastAsia="Arial" w:hAnsi="Arial"/>
          <w:sz w:val="22"/>
          <w:szCs w:val="22"/>
        </w:rPr>
        <w:t xml:space="preserve">Crisis response requires multiple parallel actions — contact companies, inform parents, involve legal counsel, communicate to media, report to regulators. Each action item is assigned to a responsible person with a deadline. Progress tracked in real time.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Company Blacklisting (Placement Crisis): </w:t>
      </w:r>
      <w:r>
        <w:rPr>
          <w:rFonts w:ascii="Arial" w:cs="Arial" w:eastAsia="Arial" w:hAnsi="Arial"/>
          <w:sz w:val="22"/>
          <w:szCs w:val="22"/>
        </w:rPr>
        <w:t xml:space="preserve">If crisis involves a fraudulent company, Placement Officer can blacklist the company directly from the Crisis Dashboard — no need to navigate to a different module. Company access is revoked immediately.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Regulatory Notification Support: </w:t>
      </w:r>
      <w:r>
        <w:rPr>
          <w:rFonts w:ascii="Arial" w:cs="Arial" w:eastAsia="Arial" w:hAnsi="Arial"/>
          <w:sz w:val="22"/>
          <w:szCs w:val="22"/>
        </w:rPr>
        <w:t xml:space="preserve">Some crises require regulatory notification — serious safety incidents must be reported to local authorities, placement fraud may need complaint to police or consumer forum. Platform provides templates and tracks submission of regulatory notifications.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Media Response Coordination: </w:t>
      </w:r>
      <w:r>
        <w:rPr>
          <w:rFonts w:ascii="Arial" w:cs="Arial" w:eastAsia="Arial" w:hAnsi="Arial"/>
          <w:sz w:val="22"/>
          <w:szCs w:val="22"/>
        </w:rPr>
        <w:t xml:space="preserve">If the crisis attracts media attention, platform helps coordinate the institute's media response — who is authorized spokesperson, what the official statement is, and which communications have been sent. Consistent messaging prevents contradictory statements.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Post-Crisis Review: </w:t>
      </w:r>
      <w:r>
        <w:rPr>
          <w:rFonts w:ascii="Arial" w:cs="Arial" w:eastAsia="Arial" w:hAnsi="Arial"/>
          <w:sz w:val="22"/>
          <w:szCs w:val="22"/>
        </w:rPr>
        <w:t xml:space="preserve">After crisis resolution, platform generates a post-crisis report — what happened, timeline of events, response actions taken, and lessons learned. This debrief improves future crisis preparedness and is filed permanently for reference.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2026-03-09T07:16:40.336Z</dcterms:created>
  <dcterms:modified xsi:type="dcterms:W3CDTF">2026-03-09T07:16:40.336Z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