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Trainer vs Teacher Distinction</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D) Faculty &amp; Trainer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Teachers and Trainers serve fundamentally different roles. Confusing the two leads to wrong expectations, wrong metrics, and wrong accountability. EcoSkiller clearly separates these two roles with distinct permissions, workflows, and performance tracking.</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Teacher Definition: </w:t>
      </w:r>
      <w:r>
        <w:rPr>
          <w:rFonts w:ascii="Arial" w:cs="Arial" w:eastAsia="Arial" w:hAnsi="Arial"/>
          <w:sz w:val="22"/>
          <w:szCs w:val="22"/>
        </w:rPr>
        <w:t xml:space="preserve">Teachers are responsible for academic subjects aligned to the board curriculum — Mathematics, Physics, Chemistry, History, English Literature, Commerce. Their output is measured by student academic performance and board exam results.</w:t>
      </w:r>
    </w:p>
    <w:p>
      <w:pPr>
        <w:pStyle w:val="ListParagraph"/>
        <w:numPr>
          <w:ilvl w:val="0"/>
          <w:numId w:val="2"/>
        </w:numPr>
        <w:spacing w:after="120"/>
      </w:pPr>
      <w:r>
        <w:rPr>
          <w:rFonts w:ascii="Arial" w:cs="Arial" w:eastAsia="Arial" w:hAnsi="Arial"/>
          <w:b/>
          <w:bCs/>
          <w:color w:val="1F7A4D"/>
          <w:sz w:val="22"/>
          <w:szCs w:val="22"/>
        </w:rPr>
        <w:t xml:space="preserve">Trainer Definition: </w:t>
      </w:r>
      <w:r>
        <w:rPr>
          <w:rFonts w:ascii="Arial" w:cs="Arial" w:eastAsia="Arial" w:hAnsi="Arial"/>
          <w:sz w:val="22"/>
          <w:szCs w:val="22"/>
        </w:rPr>
        <w:t xml:space="preserve">Trainers are responsible for skill development — Python Programming, Data Science, Web Development, Communication Skills, Digital Marketing, AI &amp; ML. Their output is measured by course completion rates and job placements.</w:t>
      </w:r>
    </w:p>
    <w:p>
      <w:pPr>
        <w:pStyle w:val="ListParagraph"/>
        <w:numPr>
          <w:ilvl w:val="0"/>
          <w:numId w:val="2"/>
        </w:numPr>
        <w:spacing w:after="120"/>
      </w:pPr>
      <w:r>
        <w:rPr>
          <w:rFonts w:ascii="Arial" w:cs="Arial" w:eastAsia="Arial" w:hAnsi="Arial"/>
          <w:b/>
          <w:bCs/>
          <w:color w:val="1F7A4D"/>
          <w:sz w:val="22"/>
          <w:szCs w:val="22"/>
        </w:rPr>
        <w:t xml:space="preserve">Separate Dashboards: </w:t>
      </w:r>
      <w:r>
        <w:rPr>
          <w:rFonts w:ascii="Arial" w:cs="Arial" w:eastAsia="Arial" w:hAnsi="Arial"/>
          <w:sz w:val="22"/>
          <w:szCs w:val="22"/>
        </w:rPr>
        <w:t xml:space="preserve">Teachers see academic modules — attendance, assignments, syllabus coverage, board results. Trainers see skill modules — course enrollment, completion rates, certification rates, project marketplace activity.</w:t>
      </w:r>
    </w:p>
    <w:p>
      <w:pPr>
        <w:pStyle w:val="ListParagraph"/>
        <w:numPr>
          <w:ilvl w:val="0"/>
          <w:numId w:val="2"/>
        </w:numPr>
        <w:spacing w:after="120"/>
      </w:pPr>
      <w:r>
        <w:rPr>
          <w:rFonts w:ascii="Arial" w:cs="Arial" w:eastAsia="Arial" w:hAnsi="Arial"/>
          <w:b/>
          <w:bCs/>
          <w:color w:val="1F7A4D"/>
          <w:sz w:val="22"/>
          <w:szCs w:val="22"/>
        </w:rPr>
        <w:t xml:space="preserve">Separate Performance Metrics: </w:t>
      </w:r>
      <w:r>
        <w:rPr>
          <w:rFonts w:ascii="Arial" w:cs="Arial" w:eastAsia="Arial" w:hAnsi="Arial"/>
          <w:sz w:val="22"/>
          <w:szCs w:val="22"/>
        </w:rPr>
        <w:t xml:space="preserve">Teacher performance: Syllabus covered on time, Student scores in tests, Parent satisfaction, Board exam pass rate. Trainer performance: Course completion rate, Certificate issuance rate, Student placement rate, Project success rate.</w:t>
      </w:r>
    </w:p>
    <w:p>
      <w:pPr>
        <w:pStyle w:val="ListParagraph"/>
        <w:numPr>
          <w:ilvl w:val="0"/>
          <w:numId w:val="2"/>
        </w:numPr>
        <w:spacing w:after="120"/>
      </w:pPr>
      <w:r>
        <w:rPr>
          <w:rFonts w:ascii="Arial" w:cs="Arial" w:eastAsia="Arial" w:hAnsi="Arial"/>
          <w:b/>
          <w:bCs/>
          <w:color w:val="1F7A4D"/>
          <w:sz w:val="22"/>
          <w:szCs w:val="22"/>
        </w:rPr>
        <w:t xml:space="preserve">No Cross-Contamination: </w:t>
      </w:r>
      <w:r>
        <w:rPr>
          <w:rFonts w:ascii="Arial" w:cs="Arial" w:eastAsia="Arial" w:hAnsi="Arial"/>
          <w:sz w:val="22"/>
          <w:szCs w:val="22"/>
        </w:rPr>
        <w:t xml:space="preserve">Teachers cannot create skill courses or access the project marketplace. Trainers cannot take academic attendance or create board-aligned assignments. Each role is completely contained within its domain.</w:t>
      </w:r>
    </w:p>
    <w:p>
      <w:pPr>
        <w:pStyle w:val="ListParagraph"/>
        <w:numPr>
          <w:ilvl w:val="0"/>
          <w:numId w:val="2"/>
        </w:numPr>
        <w:spacing w:after="120"/>
      </w:pPr>
      <w:r>
        <w:rPr>
          <w:rFonts w:ascii="Arial" w:cs="Arial" w:eastAsia="Arial" w:hAnsi="Arial"/>
          <w:b/>
          <w:bCs/>
          <w:color w:val="1F7A4D"/>
          <w:sz w:val="22"/>
          <w:szCs w:val="22"/>
        </w:rPr>
        <w:t xml:space="preserve">Dual Role Possibility: </w:t>
      </w:r>
      <w:r>
        <w:rPr>
          <w:rFonts w:ascii="Arial" w:cs="Arial" w:eastAsia="Arial" w:hAnsi="Arial"/>
          <w:sz w:val="22"/>
          <w:szCs w:val="22"/>
        </w:rPr>
        <w:t xml:space="preserve">In some institutes, a person may be both a teacher (for one subject) and a trainer (for a skill course they are expert in). Platform supports dual roles — they switch between Teacher and Trainer mode from a toggle at the top of their dashboard.</w:t>
      </w:r>
    </w:p>
    <w:p>
      <w:pPr>
        <w:pStyle w:val="ListParagraph"/>
        <w:numPr>
          <w:ilvl w:val="0"/>
          <w:numId w:val="2"/>
        </w:numPr>
        <w:spacing w:after="120"/>
      </w:pPr>
      <w:r>
        <w:rPr>
          <w:rFonts w:ascii="Arial" w:cs="Arial" w:eastAsia="Arial" w:hAnsi="Arial"/>
          <w:b/>
          <w:bCs/>
          <w:color w:val="1F7A4D"/>
          <w:sz w:val="22"/>
          <w:szCs w:val="22"/>
        </w:rPr>
        <w:t xml:space="preserve">Institute Assignment Clarity: </w:t>
      </w:r>
      <w:r>
        <w:rPr>
          <w:rFonts w:ascii="Arial" w:cs="Arial" w:eastAsia="Arial" w:hAnsi="Arial"/>
          <w:sz w:val="22"/>
          <w:szCs w:val="22"/>
        </w:rPr>
        <w:t xml:space="preserve">When admin adds a staff member, they explicitly classify — Teacher, Trainer, or Both. This classification determines what the person sees and what they are accountable for. No ambiguity.</w:t>
      </w:r>
    </w:p>
    <w:p>
      <w:pPr>
        <w:pStyle w:val="ListParagraph"/>
        <w:numPr>
          <w:ilvl w:val="0"/>
          <w:numId w:val="2"/>
        </w:numPr>
        <w:spacing w:after="120"/>
      </w:pPr>
      <w:r>
        <w:rPr>
          <w:rFonts w:ascii="Arial" w:cs="Arial" w:eastAsia="Arial" w:hAnsi="Arial"/>
          <w:b/>
          <w:bCs/>
          <w:color w:val="1F7A4D"/>
          <w:sz w:val="22"/>
          <w:szCs w:val="22"/>
        </w:rPr>
        <w:t xml:space="preserve">Separate Payroll Integration Tags: </w:t>
      </w:r>
      <w:r>
        <w:rPr>
          <w:rFonts w:ascii="Arial" w:cs="Arial" w:eastAsia="Arial" w:hAnsi="Arial"/>
          <w:sz w:val="22"/>
          <w:szCs w:val="22"/>
        </w:rPr>
        <w:t xml:space="preserve">For institutes with payroll integration, Teachers and Trainers have different payment models — Teachers on monthly salary, Trainers often on per-batch or revenue-share basis. Platform tags each person correctly for payroll processing.</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2026-03-09T07:16:39.284Z</dcterms:created>
  <dcterms:modified xsi:type="dcterms:W3CDTF">2026-03-09T07:16:39.284Z</dcterms:modified>
</cp:coreProperties>
</file>

<file path=docProps/custom.xml><?xml version="1.0" encoding="utf-8"?>
<Properties xmlns="http://schemas.openxmlformats.org/officeDocument/2006/custom-properties" xmlns:vt="http://schemas.openxmlformats.org/officeDocument/2006/docPropsVTypes"/>
</file>