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Trainer Credibility Score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Trainer Credibility Score is EcoSkiller's comprehensive metric for evaluating trainer quality. It combines multiple performance dimensions into a single, transparent score that institutes use for decisions and students use to choose which trainer to learn from.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Composition: </w:t>
      </w:r>
      <w:r>
        <w:rPr>
          <w:rFonts w:ascii="Arial" w:cs="Arial" w:eastAsia="Arial" w:hAnsi="Arial"/>
          <w:sz w:val="22"/>
          <w:szCs w:val="22"/>
        </w:rPr>
        <w:t xml:space="preserve">Score (0-100) is calculated from: Course Completion Rate (25%), Certification Pass Rate (25%), Student Satisfaction Score (20%), Placement Contribution Rate (20%), Session Regularity (10%). Each component is weighted by importance.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Update Frequency: </w:t>
      </w:r>
      <w:r>
        <w:rPr>
          <w:rFonts w:ascii="Arial" w:cs="Arial" w:eastAsia="Arial" w:hAnsi="Arial"/>
          <w:sz w:val="22"/>
          <w:szCs w:val="22"/>
        </w:rPr>
        <w:t xml:space="preserve">Score is recalculated after every batch completion. A trainer who had a poor batch in one quarter but excellent results in the next will see their score update accordingly. Score is a living metric, not a permanent label.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Visibility: </w:t>
      </w:r>
      <w:r>
        <w:rPr>
          <w:rFonts w:ascii="Arial" w:cs="Arial" w:eastAsia="Arial" w:hAnsi="Arial"/>
          <w:sz w:val="22"/>
          <w:szCs w:val="22"/>
        </w:rPr>
        <w:t xml:space="preserve">Trainer's credibility score is visible to: Institute admin (for decisions), HODs (for recommendations), and Students (for choosing batches). Transparency motivates trainers to perform consistently.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Thresholds: </w:t>
      </w:r>
      <w:r>
        <w:rPr>
          <w:rFonts w:ascii="Arial" w:cs="Arial" w:eastAsia="Arial" w:hAnsi="Arial"/>
          <w:sz w:val="22"/>
          <w:szCs w:val="22"/>
        </w:rPr>
        <w:t xml:space="preserve">Score 85-100: Platinum Trainer (gets priority batch assignments, featured on platform). Score 70-84: Gold Trainer (standard assignments). Score 50-69: Silver Trainer (on watch, improvement needed). Below 50: Performance Improvement Plan triggered.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on Public Profile: </w:t>
      </w:r>
      <w:r>
        <w:rPr>
          <w:rFonts w:ascii="Arial" w:cs="Arial" w:eastAsia="Arial" w:hAnsi="Arial"/>
          <w:sz w:val="22"/>
          <w:szCs w:val="22"/>
        </w:rPr>
        <w:t xml:space="preserve">For trainers who also work independently on the EcoSkiller marketplace (not just within one institute), their credibility score appears on their public profile. High-score trainers attract more students independently.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History: </w:t>
      </w:r>
      <w:r>
        <w:rPr>
          <w:rFonts w:ascii="Arial" w:cs="Arial" w:eastAsia="Arial" w:hAnsi="Arial"/>
          <w:sz w:val="22"/>
          <w:szCs w:val="22"/>
        </w:rPr>
        <w:t xml:space="preserve">Trainer can see their own score history — how it has changed over time, which batch impacted it positively or negatively, and what specific areas are dragging the score down.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Institute-Level Trainer Report: </w:t>
      </w:r>
      <w:r>
        <w:rPr>
          <w:rFonts w:ascii="Arial" w:cs="Arial" w:eastAsia="Arial" w:hAnsi="Arial"/>
          <w:sz w:val="22"/>
          <w:szCs w:val="22"/>
        </w:rPr>
        <w:t xml:space="preserve">Principal and HOD see a report of all trainers sorted by credibility score. This informs budget allocation — high-credibility trainers may get higher pay, more batches, and more support.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Choice Based on Score: </w:t>
      </w:r>
      <w:r>
        <w:rPr>
          <w:rFonts w:ascii="Arial" w:cs="Arial" w:eastAsia="Arial" w:hAnsi="Arial"/>
          <w:sz w:val="22"/>
          <w:szCs w:val="22"/>
        </w:rPr>
        <w:t xml:space="preserve">When multiple batches of the same course are available with different trainers, students can see each trainer's credibility score before enrolling. This market mechanism naturally rewards quality.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2026-03-09T07:16:39.330Z</dcterms:created>
  <dcterms:modified xsi:type="dcterms:W3CDTF">2026-03-09T07:16:39.330Z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