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Department-wise GD Analytics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E) GD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Beyond individual scores, GD analytics at department level reveals communication culture, patterns, and systematic issues that require institutional intervention.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Department Average Score: </w:t>
      </w:r>
      <w:r>
        <w:rPr>
          <w:rFonts w:ascii="Arial" w:cs="Arial" w:eastAsia="Arial" w:hAnsi="Arial"/>
          <w:sz w:val="22"/>
          <w:szCs w:val="22"/>
        </w:rPr>
        <w:t xml:space="preserve">Average GD score for each department this semester — CSE average 72, ECE average 65, Commerce average 78. Bar chart comparison makes performance gaps immediately visible.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Distribution: </w:t>
      </w:r>
      <w:r>
        <w:rPr>
          <w:rFonts w:ascii="Arial" w:cs="Arial" w:eastAsia="Arial" w:hAnsi="Arial"/>
          <w:sz w:val="22"/>
          <w:szCs w:val="22"/>
        </w:rPr>
        <w:t xml:space="preserve">For each department, a distribution histogram shows — how many students scored 0-40, 40-60, 60-80, 80-100. A department with many low scorers needs different intervention than one with bi-modal distribution.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Improvement Trend: </w:t>
      </w:r>
      <w:r>
        <w:rPr>
          <w:rFonts w:ascii="Arial" w:cs="Arial" w:eastAsia="Arial" w:hAnsi="Arial"/>
          <w:sz w:val="22"/>
          <w:szCs w:val="22"/>
        </w:rPr>
        <w:t xml:space="preserve">Are students in this department improving between GD sessions? Line graph shows average score by session over the year. Upward trend = effective training. Flat or downward = intervention needed.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Common Weakness Identification: </w:t>
      </w:r>
      <w:r>
        <w:rPr>
          <w:rFonts w:ascii="Arial" w:cs="Arial" w:eastAsia="Arial" w:hAnsi="Arial"/>
          <w:sz w:val="22"/>
          <w:szCs w:val="22"/>
        </w:rPr>
        <w:t xml:space="preserve">Platform aggregates which scoring component is weakest across the department — "78% of ECE students have high interrupt attempt rates." This systemic finding suggests a specific training need.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Best and Worst Performers: </w:t>
      </w:r>
      <w:r>
        <w:rPr>
          <w:rFonts w:ascii="Arial" w:cs="Arial" w:eastAsia="Arial" w:hAnsi="Arial"/>
          <w:sz w:val="22"/>
          <w:szCs w:val="22"/>
        </w:rPr>
        <w:t xml:space="preserve">Top 5 and Bottom 5 performers in each department are identified. Top performers can be encouraged for inter-college GD competitions. Bottom performers get targeted coaching.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Session Attendance Rate: </w:t>
      </w:r>
      <w:r>
        <w:rPr>
          <w:rFonts w:ascii="Arial" w:cs="Arial" w:eastAsia="Arial" w:hAnsi="Arial"/>
          <w:sz w:val="22"/>
          <w:szCs w:val="22"/>
        </w:rPr>
        <w:t xml:space="preserve">What percentage of eligible students actually attended each GD session? Low attendance suggests scheduling issues, fear of assessment, or insufficient motivation. Actionable insight for institute.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Batch Comparison: </w:t>
      </w:r>
      <w:r>
        <w:rPr>
          <w:rFonts w:ascii="Arial" w:cs="Arial" w:eastAsia="Arial" w:hAnsi="Arial"/>
          <w:sz w:val="22"/>
          <w:szCs w:val="22"/>
        </w:rPr>
        <w:t xml:space="preserve">Compare current final year batch's GD performance with previous final year batches at the same stage. Is communication quality improving year over year at the institution?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Recruiter-Shared Analytics: </w:t>
      </w:r>
      <w:r>
        <w:rPr>
          <w:rFonts w:ascii="Arial" w:cs="Arial" w:eastAsia="Arial" w:hAnsi="Arial"/>
          <w:sz w:val="22"/>
          <w:szCs w:val="22"/>
        </w:rPr>
        <w:t xml:space="preserve">Recruiters who are conducting GD rounds as part of hiring can access aggregated (not individual) department GD data. This helps recruiters calibrate their expectations when visiting specific institutes.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2026-03-09T07:16:39.587Z</dcterms:created>
  <dcterms:modified xsi:type="dcterms:W3CDTF">2026-03-09T07:16:39.587Z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