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Social &amp; Contact Links</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A) Onboarding &amp; Setup</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In the digital age, an institute's online presence across multiple platforms is part of its credibility. This feature allows institutes to consolidate all their online presence links in one place, making it easy for stakeholders to verify and connect.</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Official Website Link: </w:t>
      </w:r>
      <w:r>
        <w:rPr>
          <w:rFonts w:ascii="Arial" w:cs="Arial" w:eastAsia="Arial" w:hAnsi="Arial"/>
          <w:sz w:val="22"/>
          <w:szCs w:val="22"/>
        </w:rPr>
        <w:t xml:space="preserve">The institute's official website URL is added and verified by the platform — it checks that the website is live and accessible. Dead or parked domain links are rejected.</w:t>
      </w:r>
    </w:p>
    <w:p>
      <w:pPr>
        <w:pStyle w:val="ListParagraph"/>
        <w:numPr>
          <w:ilvl w:val="0"/>
          <w:numId w:val="2"/>
        </w:numPr>
        <w:spacing w:after="120"/>
      </w:pPr>
      <w:r>
        <w:rPr>
          <w:rFonts w:ascii="Arial" w:cs="Arial" w:eastAsia="Arial" w:hAnsi="Arial"/>
          <w:b/>
          <w:bCs/>
          <w:color w:val="1F7A4D"/>
          <w:sz w:val="22"/>
          <w:szCs w:val="22"/>
        </w:rPr>
        <w:t xml:space="preserve">LinkedIn Page: </w:t>
      </w:r>
      <w:r>
        <w:rPr>
          <w:rFonts w:ascii="Arial" w:cs="Arial" w:eastAsia="Arial" w:hAnsi="Arial"/>
          <w:sz w:val="22"/>
          <w:szCs w:val="22"/>
        </w:rPr>
        <w:t xml:space="preserve">Institute's official LinkedIn page link is added. LinkedIn pages are cross-referenced to confirm they are genuine institute pages and not personal profiles claiming to be institutes.</w:t>
      </w:r>
    </w:p>
    <w:p>
      <w:pPr>
        <w:pStyle w:val="ListParagraph"/>
        <w:numPr>
          <w:ilvl w:val="0"/>
          <w:numId w:val="2"/>
        </w:numPr>
        <w:spacing w:after="120"/>
      </w:pPr>
      <w:r>
        <w:rPr>
          <w:rFonts w:ascii="Arial" w:cs="Arial" w:eastAsia="Arial" w:hAnsi="Arial"/>
          <w:b/>
          <w:bCs/>
          <w:color w:val="1F7A4D"/>
          <w:sz w:val="22"/>
          <w:szCs w:val="22"/>
        </w:rPr>
        <w:t xml:space="preserve">YouTube Channel: </w:t>
      </w:r>
      <w:r>
        <w:rPr>
          <w:rFonts w:ascii="Arial" w:cs="Arial" w:eastAsia="Arial" w:hAnsi="Arial"/>
          <w:sz w:val="22"/>
          <w:szCs w:val="22"/>
        </w:rPr>
        <w:t xml:space="preserve">If the institute has an official YouTube channel with educational content, lectures, or campus tours, the link is added. YouTube channels add credibility and content richness.</w:t>
      </w:r>
    </w:p>
    <w:p>
      <w:pPr>
        <w:pStyle w:val="ListParagraph"/>
        <w:numPr>
          <w:ilvl w:val="0"/>
          <w:numId w:val="2"/>
        </w:numPr>
        <w:spacing w:after="120"/>
      </w:pPr>
      <w:r>
        <w:rPr>
          <w:rFonts w:ascii="Arial" w:cs="Arial" w:eastAsia="Arial" w:hAnsi="Arial"/>
          <w:b/>
          <w:bCs/>
          <w:color w:val="1F7A4D"/>
          <w:sz w:val="22"/>
          <w:szCs w:val="22"/>
        </w:rPr>
        <w:t xml:space="preserve">Facebook &amp; Instagram: </w:t>
      </w:r>
      <w:r>
        <w:rPr>
          <w:rFonts w:ascii="Arial" w:cs="Arial" w:eastAsia="Arial" w:hAnsi="Arial"/>
          <w:sz w:val="22"/>
          <w:szCs w:val="22"/>
        </w:rPr>
        <w:t xml:space="preserve">Official social media handles are linked. Platform checks that follower counts and activity are consistent with a legitimate educational institution.</w:t>
      </w:r>
    </w:p>
    <w:p>
      <w:pPr>
        <w:pStyle w:val="ListParagraph"/>
        <w:numPr>
          <w:ilvl w:val="0"/>
          <w:numId w:val="2"/>
        </w:numPr>
        <w:spacing w:after="120"/>
      </w:pPr>
      <w:r>
        <w:rPr>
          <w:rFonts w:ascii="Arial" w:cs="Arial" w:eastAsia="Arial" w:hAnsi="Arial"/>
          <w:b/>
          <w:bCs/>
          <w:color w:val="1F7A4D"/>
          <w:sz w:val="22"/>
          <w:szCs w:val="22"/>
        </w:rPr>
        <w:t xml:space="preserve">WhatsApp Official Number: </w:t>
      </w:r>
      <w:r>
        <w:rPr>
          <w:rFonts w:ascii="Arial" w:cs="Arial" w:eastAsia="Arial" w:hAnsi="Arial"/>
          <w:sz w:val="22"/>
          <w:szCs w:val="22"/>
        </w:rPr>
        <w:t xml:space="preserve">A WhatsApp Business number is entered for official communications. This number is what students and parents can use for quick queries. It is not the personal number of any staff member.</w:t>
      </w:r>
    </w:p>
    <w:p>
      <w:pPr>
        <w:pStyle w:val="ListParagraph"/>
        <w:numPr>
          <w:ilvl w:val="0"/>
          <w:numId w:val="2"/>
        </w:numPr>
        <w:spacing w:after="120"/>
      </w:pPr>
      <w:r>
        <w:rPr>
          <w:rFonts w:ascii="Arial" w:cs="Arial" w:eastAsia="Arial" w:hAnsi="Arial"/>
          <w:b/>
          <w:bCs/>
          <w:color w:val="1F7A4D"/>
          <w:sz w:val="22"/>
          <w:szCs w:val="22"/>
        </w:rPr>
        <w:t xml:space="preserve">Email Domain Verification: </w:t>
      </w:r>
      <w:r>
        <w:rPr>
          <w:rFonts w:ascii="Arial" w:cs="Arial" w:eastAsia="Arial" w:hAnsi="Arial"/>
          <w:sz w:val="22"/>
          <w:szCs w:val="22"/>
        </w:rPr>
        <w:t xml:space="preserve">The institute's official email domain is verified — example: admissions@abc-institute.edu.in. Generic Gmail or Yahoo addresses for official communications are flagged as less credible.</w:t>
      </w:r>
    </w:p>
    <w:p>
      <w:pPr>
        <w:pStyle w:val="ListParagraph"/>
        <w:numPr>
          <w:ilvl w:val="0"/>
          <w:numId w:val="2"/>
        </w:numPr>
        <w:spacing w:after="120"/>
      </w:pPr>
      <w:r>
        <w:rPr>
          <w:rFonts w:ascii="Arial" w:cs="Arial" w:eastAsia="Arial" w:hAnsi="Arial"/>
          <w:b/>
          <w:bCs/>
          <w:color w:val="1F7A4D"/>
          <w:sz w:val="22"/>
          <w:szCs w:val="22"/>
        </w:rPr>
        <w:t xml:space="preserve">Helpdesk / Grievance Email: </w:t>
      </w:r>
      <w:r>
        <w:rPr>
          <w:rFonts w:ascii="Arial" w:cs="Arial" w:eastAsia="Arial" w:hAnsi="Arial"/>
          <w:sz w:val="22"/>
          <w:szCs w:val="22"/>
        </w:rPr>
        <w:t xml:space="preserve">A separate dedicated email for grievances and complaints is entered. This ensures student and parent complaints go to a specific monitored inbox, not lost in general email.</w:t>
      </w:r>
    </w:p>
    <w:p>
      <w:pPr>
        <w:pStyle w:val="ListParagraph"/>
        <w:numPr>
          <w:ilvl w:val="0"/>
          <w:numId w:val="2"/>
        </w:numPr>
        <w:spacing w:after="120"/>
      </w:pPr>
      <w:r>
        <w:rPr>
          <w:rFonts w:ascii="Arial" w:cs="Arial" w:eastAsia="Arial" w:hAnsi="Arial"/>
          <w:b/>
          <w:bCs/>
          <w:color w:val="1F7A4D"/>
          <w:sz w:val="22"/>
          <w:szCs w:val="22"/>
        </w:rPr>
        <w:t xml:space="preserve">Emergency Contact Numbers: </w:t>
      </w:r>
      <w:r>
        <w:rPr>
          <w:rFonts w:ascii="Arial" w:cs="Arial" w:eastAsia="Arial" w:hAnsi="Arial"/>
          <w:sz w:val="22"/>
          <w:szCs w:val="22"/>
        </w:rPr>
        <w:t xml:space="preserve">Two emergency contact numbers are stored — one for students (principal's office) and one for parents (admin desk). These are shown to relevant parties during crisis situations.</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2026-03-09T07:03:21.064Z</dcterms:created>
  <dcterms:modified xsi:type="dcterms:W3CDTF">2026-03-09T07:03:21.064Z</dcterms:modified>
</cp:coreProperties>
</file>

<file path=docProps/custom.xml><?xml version="1.0" encoding="utf-8"?>
<Properties xmlns="http://schemas.openxmlformats.org/officeDocument/2006/custom-properties" xmlns:vt="http://schemas.openxmlformats.org/officeDocument/2006/docPropsVTypes"/>
</file>