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Batch &amp; Section Management</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B) Student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Large institutes have hundreds of students organized into batches (by year) and sections (by division within the same year). Effective batch and section management ensures that the right content, assignments, and communications reach the right group of students.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Batch Creation: </w:t>
      </w:r>
      <w:r>
        <w:rPr>
          <w:rFonts w:ascii="Arial" w:cs="Arial" w:eastAsia="Arial" w:hAnsi="Arial"/>
          <w:sz w:val="22"/>
          <w:szCs w:val="22"/>
        </w:rPr>
        <w:t xml:space="preserve">Admin creates batches for each academic year — 2024-2028 for a 4-year B.Tech, 2024-2026 for a 2-year MBA. Batch name, start date, expected graduation date, and associated programs are defined.</w:t>
      </w:r>
    </w:p>
    <w:p>
      <w:pPr>
        <w:pStyle w:val="ListParagraph"/>
        <w:numPr>
          <w:ilvl w:val="0"/>
          <w:numId w:val="2"/>
        </w:numPr>
        <w:spacing w:after="120"/>
      </w:pPr>
      <w:r>
        <w:rPr>
          <w:rFonts w:ascii="Arial" w:cs="Arial" w:eastAsia="Arial" w:hAnsi="Arial"/>
          <w:b/>
          <w:bCs/>
          <w:color w:val="1F7A4D"/>
          <w:sz w:val="22"/>
          <w:szCs w:val="22"/>
        </w:rPr>
        <w:t xml:space="preserve">Section Creation Within Batch: </w:t>
      </w:r>
      <w:r>
        <w:rPr>
          <w:rFonts w:ascii="Arial" w:cs="Arial" w:eastAsia="Arial" w:hAnsi="Arial"/>
          <w:sz w:val="22"/>
          <w:szCs w:val="22"/>
        </w:rPr>
        <w:t xml:space="preserve">Within each batch, sections are created — Section A (60 students), Section B (60 students), Section C (60 students). Each section can have its own class teacher assigned.</w:t>
      </w:r>
    </w:p>
    <w:p>
      <w:pPr>
        <w:pStyle w:val="ListParagraph"/>
        <w:numPr>
          <w:ilvl w:val="0"/>
          <w:numId w:val="2"/>
        </w:numPr>
        <w:spacing w:after="120"/>
      </w:pPr>
      <w:r>
        <w:rPr>
          <w:rFonts w:ascii="Arial" w:cs="Arial" w:eastAsia="Arial" w:hAnsi="Arial"/>
          <w:b/>
          <w:bCs/>
          <w:color w:val="1F7A4D"/>
          <w:sz w:val="22"/>
          <w:szCs w:val="22"/>
        </w:rPr>
        <w:t xml:space="preserve">Student-Section Assignment: </w:t>
      </w:r>
      <w:r>
        <w:rPr>
          <w:rFonts w:ascii="Arial" w:cs="Arial" w:eastAsia="Arial" w:hAnsi="Arial"/>
          <w:sz w:val="22"/>
          <w:szCs w:val="22"/>
        </w:rPr>
        <w:t xml:space="preserve">Students are assigned to sections — individually or in bulk. If students are shuffled between sections, the transfer is recorded with date and admin who made the change.</w:t>
      </w:r>
    </w:p>
    <w:p>
      <w:pPr>
        <w:pStyle w:val="ListParagraph"/>
        <w:numPr>
          <w:ilvl w:val="0"/>
          <w:numId w:val="2"/>
        </w:numPr>
        <w:spacing w:after="120"/>
      </w:pPr>
      <w:r>
        <w:rPr>
          <w:rFonts w:ascii="Arial" w:cs="Arial" w:eastAsia="Arial" w:hAnsi="Arial"/>
          <w:b/>
          <w:bCs/>
          <w:color w:val="1F7A4D"/>
          <w:sz w:val="22"/>
          <w:szCs w:val="22"/>
        </w:rPr>
        <w:t xml:space="preserve">Section-Level Analytics: </w:t>
      </w:r>
      <w:r>
        <w:rPr>
          <w:rFonts w:ascii="Arial" w:cs="Arial" w:eastAsia="Arial" w:hAnsi="Arial"/>
          <w:sz w:val="22"/>
          <w:szCs w:val="22"/>
        </w:rPr>
        <w:t xml:space="preserve">HOD and Principal can see analytics at section level — Section A has 78% LMS completion, Section B has 65%. This helps identify if a specific class teacher is more or less effective.</w:t>
      </w:r>
    </w:p>
    <w:p>
      <w:pPr>
        <w:pStyle w:val="ListParagraph"/>
        <w:numPr>
          <w:ilvl w:val="0"/>
          <w:numId w:val="2"/>
        </w:numPr>
        <w:spacing w:after="120"/>
      </w:pPr>
      <w:r>
        <w:rPr>
          <w:rFonts w:ascii="Arial" w:cs="Arial" w:eastAsia="Arial" w:hAnsi="Arial"/>
          <w:b/>
          <w:bCs/>
          <w:color w:val="1F7A4D"/>
          <w:sz w:val="22"/>
          <w:szCs w:val="22"/>
        </w:rPr>
        <w:t xml:space="preserve">Batch Graduation Processing: </w:t>
      </w:r>
      <w:r>
        <w:rPr>
          <w:rFonts w:ascii="Arial" w:cs="Arial" w:eastAsia="Arial" w:hAnsi="Arial"/>
          <w:sz w:val="22"/>
          <w:szCs w:val="22"/>
        </w:rPr>
        <w:t xml:space="preserve">When a batch graduates, admin triggers the Graduation Processing — student status changes from Active to Alumni. GD scores, certificates, and projects remain in their profile as historical record.</w:t>
      </w:r>
    </w:p>
    <w:p>
      <w:pPr>
        <w:pStyle w:val="ListParagraph"/>
        <w:numPr>
          <w:ilvl w:val="0"/>
          <w:numId w:val="2"/>
        </w:numPr>
        <w:spacing w:after="120"/>
      </w:pPr>
      <w:r>
        <w:rPr>
          <w:rFonts w:ascii="Arial" w:cs="Arial" w:eastAsia="Arial" w:hAnsi="Arial"/>
          <w:b/>
          <w:bCs/>
          <w:color w:val="1F7A4D"/>
          <w:sz w:val="22"/>
          <w:szCs w:val="22"/>
        </w:rPr>
        <w:t xml:space="preserve">Batch Comparison: </w:t>
      </w:r>
      <w:r>
        <w:rPr>
          <w:rFonts w:ascii="Arial" w:cs="Arial" w:eastAsia="Arial" w:hAnsi="Arial"/>
          <w:sz w:val="22"/>
          <w:szCs w:val="22"/>
        </w:rPr>
        <w:t xml:space="preserve">Institute can compare batch performance year over year — 2022 batch placement rate vs 2023 batch vs 2024 batch. Trend analysis shows if institute outcomes are improving or declining.</w:t>
      </w:r>
    </w:p>
    <w:p>
      <w:pPr>
        <w:pStyle w:val="ListParagraph"/>
        <w:numPr>
          <w:ilvl w:val="0"/>
          <w:numId w:val="2"/>
        </w:numPr>
        <w:spacing w:after="120"/>
      </w:pPr>
      <w:r>
        <w:rPr>
          <w:rFonts w:ascii="Arial" w:cs="Arial" w:eastAsia="Arial" w:hAnsi="Arial"/>
          <w:b/>
          <w:bCs/>
          <w:color w:val="1F7A4D"/>
          <w:sz w:val="22"/>
          <w:szCs w:val="22"/>
        </w:rPr>
        <w:t xml:space="preserve">Cross-Section Assignments: </w:t>
      </w:r>
      <w:r>
        <w:rPr>
          <w:rFonts w:ascii="Arial" w:cs="Arial" w:eastAsia="Arial" w:hAnsi="Arial"/>
          <w:sz w:val="22"/>
          <w:szCs w:val="22"/>
        </w:rPr>
        <w:t xml:space="preserve">Some assignments — like inter-department projects or GD sessions — can span multiple sections. Admin can create cross-section groups for specific activities without permanently reshuffling students.</w:t>
      </w:r>
    </w:p>
    <w:p>
      <w:pPr>
        <w:pStyle w:val="ListParagraph"/>
        <w:numPr>
          <w:ilvl w:val="0"/>
          <w:numId w:val="2"/>
        </w:numPr>
        <w:spacing w:after="120"/>
      </w:pPr>
      <w:r>
        <w:rPr>
          <w:rFonts w:ascii="Arial" w:cs="Arial" w:eastAsia="Arial" w:hAnsi="Arial"/>
          <w:b/>
          <w:bCs/>
          <w:color w:val="1F7A4D"/>
          <w:sz w:val="22"/>
          <w:szCs w:val="22"/>
        </w:rPr>
        <w:t xml:space="preserve">Section Capacity Alerts: </w:t>
      </w:r>
      <w:r>
        <w:rPr>
          <w:rFonts w:ascii="Arial" w:cs="Arial" w:eastAsia="Arial" w:hAnsi="Arial"/>
          <w:sz w:val="22"/>
          <w:szCs w:val="22"/>
        </w:rPr>
        <w:t xml:space="preserve">If a section exceeds the defined maximum capacity (example: more than 65 students in a 60-seat section), platform sends an alert to admin for review and action.</w:t>
      </w:r>
    </w:p>
    <w:p>
      <w:pPr>
        <w:pStyle w:val="ListParagraph"/>
        <w:numPr>
          <w:ilvl w:val="0"/>
          <w:numId w:val="2"/>
        </w:numPr>
        <w:spacing w:after="120"/>
      </w:pPr>
      <w:r>
        <w:rPr>
          <w:rFonts w:ascii="Arial" w:cs="Arial" w:eastAsia="Arial" w:hAnsi="Arial"/>
          <w:b/>
          <w:bCs/>
          <w:color w:val="1F7A4D"/>
          <w:sz w:val="22"/>
          <w:szCs w:val="22"/>
        </w:rPr>
        <w:t xml:space="preserve">Batch Archive: </w:t>
      </w:r>
      <w:r>
        <w:rPr>
          <w:rFonts w:ascii="Arial" w:cs="Arial" w:eastAsia="Arial" w:hAnsi="Arial"/>
          <w:sz w:val="22"/>
          <w:szCs w:val="22"/>
        </w:rPr>
        <w:t xml:space="preserve">Graduated batches are archived — they no longer show in active dashboards but are fully accessible for alumni tracking, outcome analysis, and historical reference.</w:t>
      </w:r>
    </w:p>
    <w:p>
      <w:pPr>
        <w:pStyle w:val="ListParagraph"/>
        <w:numPr>
          <w:ilvl w:val="0"/>
          <w:numId w:val="2"/>
        </w:numPr>
        <w:spacing w:after="120"/>
      </w:pPr>
      <w:r>
        <w:rPr>
          <w:rFonts w:ascii="Arial" w:cs="Arial" w:eastAsia="Arial" w:hAnsi="Arial"/>
          <w:b/>
          <w:bCs/>
          <w:color w:val="1F7A4D"/>
          <w:sz w:val="22"/>
          <w:szCs w:val="22"/>
        </w:rPr>
        <w:t xml:space="preserve">Late Batch Addition: </w:t>
      </w:r>
      <w:r>
        <w:rPr>
          <w:rFonts w:ascii="Arial" w:cs="Arial" w:eastAsia="Arial" w:hAnsi="Arial"/>
          <w:sz w:val="22"/>
          <w:szCs w:val="22"/>
        </w:rPr>
        <w:t xml:space="preserve">Students who fail and repeat a year can be moved to a junior batch. Their profile history is preserved but their active batch assignment changes. Platform handles this edge case cleanly.</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2026-03-09T07:03:21.160Z</dcterms:created>
  <dcterms:modified xsi:type="dcterms:W3CDTF">2026-03-09T07:03:21.160Z</dcterms:modified>
</cp:coreProperties>
</file>

<file path=docProps/custom.xml><?xml version="1.0" encoding="utf-8"?>
<Properties xmlns="http://schemas.openxmlformats.org/officeDocument/2006/custom-properties" xmlns:vt="http://schemas.openxmlformats.org/officeDocument/2006/docPropsVTypes"/>
</file>