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Student Progress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B) Student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 Student Progress Dashboard is the single most comprehensive view of a student's overall development on EcoSkiller. It aggregates data from all platform modules and presents it in a clear, visual format for institute admins, teachers, HODs, and the student themselves.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Overall Eligibility Score: </w:t>
      </w:r>
      <w:r>
        <w:rPr>
          <w:rFonts w:ascii="Arial" w:cs="Arial" w:eastAsia="Arial" w:hAnsi="Arial"/>
          <w:sz w:val="22"/>
          <w:szCs w:val="22"/>
        </w:rPr>
        <w:t xml:space="preserve">A composite Eligibility Score from 0 to 100 is displayed prominently. This score combines — LMS completion (25%), GD performance (20%), Tournament rank (15%), Project completion (20%), Attendance (10%), Skill endorsements (10%). Score is calculated by platform algorithm, cannot be manually inflated.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LMS Progress Widget: </w:t>
      </w:r>
      <w:r>
        <w:rPr>
          <w:rFonts w:ascii="Arial" w:cs="Arial" w:eastAsia="Arial" w:hAnsi="Arial"/>
          <w:sz w:val="22"/>
          <w:szCs w:val="22"/>
        </w:rPr>
        <w:t xml:space="preserve">Shows total courses enrolled, courses completed, courses in-progress, and overall completion percentage. Clicking opens a detailed view of each course — lessons completed, time spent, quiz scores, and certificate status.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GD Score History Graph: </w:t>
      </w:r>
      <w:r>
        <w:rPr>
          <w:rFonts w:ascii="Arial" w:cs="Arial" w:eastAsia="Arial" w:hAnsi="Arial"/>
          <w:sz w:val="22"/>
          <w:szCs w:val="22"/>
        </w:rPr>
        <w:t xml:space="preserve">A line graph showing GD scores across all sessions. Trend is clearly visible — improving, declining, or stagnant. Each data point is clickable to see that specific GD's detailed report.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Tournament Participation Summary: </w:t>
      </w:r>
      <w:r>
        <w:rPr>
          <w:rFonts w:ascii="Arial" w:cs="Arial" w:eastAsia="Arial" w:hAnsi="Arial"/>
          <w:sz w:val="22"/>
          <w:szCs w:val="22"/>
        </w:rPr>
        <w:t xml:space="preserve">All tournaments the student has participated in are listed — event name, level (school/district/state/national), rank achieved, and certificate status. Best rank is highlighted.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Attendance Summary: </w:t>
      </w:r>
      <w:r>
        <w:rPr>
          <w:rFonts w:ascii="Arial" w:cs="Arial" w:eastAsia="Arial" w:hAnsi="Arial"/>
          <w:sz w:val="22"/>
          <w:szCs w:val="22"/>
        </w:rPr>
        <w:t xml:space="preserve">Current attendance percentage with a color indicator — green above 85%, yellow between 75-85%, red below 75%. Month-wise breakdown is available in a bar chart.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Project Portfolio Preview: </w:t>
      </w:r>
      <w:r>
        <w:rPr>
          <w:rFonts w:ascii="Arial" w:cs="Arial" w:eastAsia="Arial" w:hAnsi="Arial"/>
          <w:sz w:val="22"/>
          <w:szCs w:val="22"/>
        </w:rPr>
        <w:t xml:space="preserve">Projects assigned and completed are shown with status — Completed, In Progress, Not Started. Each project shows the company name, mentor who reviewed it, and rating received.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Skill Map: </w:t>
      </w:r>
      <w:r>
        <w:rPr>
          <w:rFonts w:ascii="Arial" w:cs="Arial" w:eastAsia="Arial" w:hAnsi="Arial"/>
          <w:sz w:val="22"/>
          <w:szCs w:val="22"/>
        </w:rPr>
        <w:t xml:space="preserve">Visual representation of all skills the student has — courses-based skills (Python, SQL, Java), GD-assessed communication skills, mentor-endorsed skills, and tournament-demonstrated competitive skills.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Achievement Timeline: </w:t>
      </w:r>
      <w:r>
        <w:rPr>
          <w:rFonts w:ascii="Arial" w:cs="Arial" w:eastAsia="Arial" w:hAnsi="Arial"/>
          <w:sz w:val="22"/>
          <w:szCs w:val="22"/>
        </w:rPr>
        <w:t xml:space="preserve">A chronological timeline of all significant achievements — certificate earned on Date X, tournament won on Date Y, project completed on Date Z, mentor endorsement received on Date W. This timeline is what builds into the student's profile.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Placement Readiness Indicator: </w:t>
      </w:r>
      <w:r>
        <w:rPr>
          <w:rFonts w:ascii="Arial" w:cs="Arial" w:eastAsia="Arial" w:hAnsi="Arial"/>
          <w:sz w:val="22"/>
          <w:szCs w:val="22"/>
        </w:rPr>
        <w:t xml:space="preserve">A clear visual showing — is this student ready for placement? Green: Ready. Yellow: Almost Ready (specify gaps). Red: Not Ready (specify what needs to improve). Recruiters also see this indicator.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Peer Benchmarking: </w:t>
      </w:r>
      <w:r>
        <w:rPr>
          <w:rFonts w:ascii="Arial" w:cs="Arial" w:eastAsia="Arial" w:hAnsi="Arial"/>
          <w:sz w:val="22"/>
          <w:szCs w:val="22"/>
        </w:rPr>
        <w:t xml:space="preserve">Student can see how their Eligibility Score compares to their batch average, department average, and all-institute average. Privacy-protected — names of peers are not shown, only percentile position.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2026-03-09T07:03:21.197Z</dcterms:created>
  <dcterms:modified xsi:type="dcterms:W3CDTF">2026-03-09T07:03:21.197Z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