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</w:pPr>
      <w:r>
        <w:rPr>
          <w:rFonts w:ascii="Arial" w:cs="Arial" w:eastAsia="Arial" w:hAnsi="Arial"/>
          <w:b/>
          <w:bCs/>
          <w:color w:val="1F7A4D"/>
          <w:sz w:val="36"/>
          <w:szCs w:val="36"/>
        </w:rPr>
        <w:t xml:space="preserve">Plan Selection</w:t>
      </w:r>
    </w:p>
    <w:p>
      <w:pPr>
        <w:spacing w:after="1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Feature Group: </w:t>
      </w: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K) Subscription &amp; Billing Management</w:t>
      </w:r>
    </w:p>
    <w:p>
      <w:pPr>
        <w:spacing w:after="300"/>
      </w:pPr>
      <w:r>
        <w:rPr>
          <w:rFonts w:ascii="Arial" w:cs="Arial" w:eastAsia="Arial" w:hAnsi="Arial"/>
          <w:b/>
          <w:bCs/>
          <w:color w:val="555555"/>
          <w:sz w:val="22"/>
          <w:szCs w:val="22"/>
        </w:rPr>
        <w:t xml:space="preserve">Platform: </w:t>
      </w:r>
      <w:r>
        <w:rPr>
          <w:rFonts w:ascii="Arial" w:cs="Arial" w:eastAsia="Arial" w:hAnsi="Arial"/>
          <w:sz w:val="22"/>
          <w:szCs w:val="22"/>
        </w:rPr>
        <w:t xml:space="preserve">EcoSkiller — Institute Module</w:t>
      </w:r>
    </w:p>
    <w:p>
      <w:pPr>
        <w:pBdr>
          <w:bottom w:val="single" w:color="1F7A4D" w:sz="6" w:space="1"/>
        </w:pBdr>
        <w:spacing w:after="300"/>
      </w:pP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Overview</w:t>
      </w:r>
    </w:p>
    <w:p>
      <w:pPr>
        <w:spacing w:after="300"/>
      </w:pPr>
      <w:r>
        <w:rPr>
          <w:rFonts w:ascii="Arial" w:cs="Arial" w:eastAsia="Arial" w:hAnsi="Arial"/>
          <w:sz w:val="22"/>
          <w:szCs w:val="22"/>
        </w:rPr>
        <w:t xml:space="preserve">EcoSkiller offers multiple subscription plans designed to fit institutes of different sizes, budgets, and needs. Plan Selection gives institute admin a clear, transparent comparison of what each plan offers — allowing an informed decision without pressure from a sales team.</w:t>
      </w:r>
    </w:p>
    <w:p>
      <w:pPr>
        <w:pStyle w:val="Heading2"/>
        <w:spacing w:after="150"/>
      </w:pPr>
      <w:r>
        <w:rPr>
          <w:rFonts w:ascii="Arial" w:cs="Arial" w:eastAsia="Arial" w:hAnsi="Arial"/>
          <w:b/>
          <w:bCs/>
          <w:color w:val="1A1A2E"/>
          <w:sz w:val="28"/>
          <w:szCs w:val="28"/>
        </w:rPr>
        <w:t xml:space="preserve">Detailed Functionality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Basic Plan — Small Institutes: </w:t>
      </w:r>
      <w:r>
        <w:rPr>
          <w:rFonts w:ascii="Arial" w:cs="Arial" w:eastAsia="Arial" w:hAnsi="Arial"/>
          <w:sz w:val="22"/>
          <w:szCs w:val="22"/>
        </w:rPr>
        <w:t xml:space="preserve">Designed for institutes with up to 200 students. Price: Rs 2,999 per month. Includes: Student Management (enrollment, attendance, batch management), LMS (basic course access), Automated GD Module (up to 4 sessions per month), and basic Analytics Dashboard. Ideal for small coaching institutes or single-department colleges.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Standard Plan — Medium Institutes: </w:t>
      </w:r>
      <w:r>
        <w:rPr>
          <w:rFonts w:ascii="Arial" w:cs="Arial" w:eastAsia="Arial" w:hAnsi="Arial"/>
          <w:sz w:val="22"/>
          <w:szCs w:val="22"/>
        </w:rPr>
        <w:t xml:space="preserve">Designed for institutes with up to 500 students. Price: Rs 5,999 per month. Includes everything in Basic plus: Tournament Module (up to 4 tournaments per year), Industry Visit Module, Placement &amp; Recruiter Management, Faculty &amp; Trainer Management, and advanced Analytics. Ideal for mid-size colleges and institutes.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Premium Plan — Large Institutes: </w:t>
      </w:r>
      <w:r>
        <w:rPr>
          <w:rFonts w:ascii="Arial" w:cs="Arial" w:eastAsia="Arial" w:hAnsi="Arial"/>
          <w:sz w:val="22"/>
          <w:szCs w:val="22"/>
        </w:rPr>
        <w:t xml:space="preserve">Designed for institutes with up to 1,000 students. Price: Rs 9,999 per month. Includes everything in Standard plus: Project Marketplace access, Board of Directors reports, Compliance Report Auto-Generation, Alumni Network Management, and Crisis Management Dashboard. Ideal for large colleges and universities.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Enterprise Plan — Universities &amp; Chains: </w:t>
      </w:r>
      <w:r>
        <w:rPr>
          <w:rFonts w:ascii="Arial" w:cs="Arial" w:eastAsia="Arial" w:hAnsi="Arial"/>
          <w:sz w:val="22"/>
          <w:szCs w:val="22"/>
        </w:rPr>
        <w:t xml:space="preserve">For institutes with more than 1,000 students or multi-campus chains. Custom pricing based on student count, campus count, and specific feature requirements. Includes dedicated account manager, priority support, custom integrations, and SLA-backed uptime guarantee.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Plan Comparison Table: </w:t>
      </w:r>
      <w:r>
        <w:rPr>
          <w:rFonts w:ascii="Arial" w:cs="Arial" w:eastAsia="Arial" w:hAnsi="Arial"/>
          <w:sz w:val="22"/>
          <w:szCs w:val="22"/>
        </w:rPr>
        <w:t xml:space="preserve">Institute admin sees a clear side-by-side comparison table — all features listed in rows, all plans in columns, checkmark for included and X for not included. No confusion about what is and is not in each plan. Transparent, no hidden features.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Recommended Plan Indicator: </w:t>
      </w:r>
      <w:r>
        <w:rPr>
          <w:rFonts w:ascii="Arial" w:cs="Arial" w:eastAsia="Arial" w:hAnsi="Arial"/>
          <w:sz w:val="22"/>
          <w:szCs w:val="22"/>
        </w:rPr>
        <w:t xml:space="preserve">Based on the number of students and departments the institute entered during registration, platform highlights the recommended plan — "Based on your 340 students, Standard Plan is recommended for you." Removes decision paralysis.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Annual vs Monthly Pricing: </w:t>
      </w:r>
      <w:r>
        <w:rPr>
          <w:rFonts w:ascii="Arial" w:cs="Arial" w:eastAsia="Arial" w:hAnsi="Arial"/>
          <w:sz w:val="22"/>
          <w:szCs w:val="22"/>
        </w:rPr>
        <w:t xml:space="preserve">Each plan has a monthly price and an annual price. Annual subscription gives 20% discount — Standard Plan at Rs 5,999/month becomes Rs 57,590/year (equivalent to Rs 4,799/month). Savings are clearly shown to encourage annual commitment.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Plan Feature Deep-Dive: </w:t>
      </w:r>
      <w:r>
        <w:rPr>
          <w:rFonts w:ascii="Arial" w:cs="Arial" w:eastAsia="Arial" w:hAnsi="Arial"/>
          <w:sz w:val="22"/>
          <w:szCs w:val="22"/>
        </w:rPr>
        <w:t xml:space="preserve">Admin can click on any plan to see a detailed feature explanation — not just checkmarks but descriptions of exactly how each feature works in that plan context. Informed decision-making is encouraged.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Government Institution Pricing: </w:t>
      </w:r>
      <w:r>
        <w:rPr>
          <w:rFonts w:ascii="Arial" w:cs="Arial" w:eastAsia="Arial" w:hAnsi="Arial"/>
          <w:sz w:val="22"/>
          <w:szCs w:val="22"/>
        </w:rPr>
        <w:t xml:space="preserve">Government schools and colleges registered with UDISE+ or AISHE get a special 40% discount on all plans. Government pricing is verified against official databases. Supporting government institutions is part of EcoSkiller's mission.</w:t>
      </w:r>
    </w:p>
    <w:p>
      <w:pPr>
        <w:pStyle w:val="ListParagraph"/>
        <w:numPr>
          <w:ilvl w:val="0"/>
          <w:numId w:val="2"/>
        </w:numPr>
        <w:spacing w:after="120"/>
      </w:pPr>
      <w:r>
        <w:rPr>
          <w:rFonts w:ascii="Arial" w:cs="Arial" w:eastAsia="Arial" w:hAnsi="Arial"/>
          <w:b/>
          <w:bCs/>
          <w:color w:val="1F7A4D"/>
          <w:sz w:val="22"/>
          <w:szCs w:val="22"/>
        </w:rPr>
        <w:t xml:space="preserve">NGO &amp; Rural Institute Pricing: </w:t>
      </w:r>
      <w:r>
        <w:rPr>
          <w:rFonts w:ascii="Arial" w:cs="Arial" w:eastAsia="Arial" w:hAnsi="Arial"/>
          <w:sz w:val="22"/>
          <w:szCs w:val="22"/>
        </w:rPr>
        <w:t xml:space="preserve">NGOs and institutes in rural areas (Tier 3 cities and below, or institutes serving tribal populations) get a 50% discount. Application requires documentation. Reviewed by EcoSkiller social impact team within 5 working days.</w:t>
      </w:r>
    </w:p>
    <w:p>
      <w:pPr>
        <w:spacing w:after="300"/>
      </w:pPr>
    </w:p>
    <w:p>
      <w:pPr>
        <w:pBdr>
          <w:top w:val="single" w:color="CCCCCC" w:sz="4" w:space="1"/>
        </w:pBdr>
        <w:spacing w:before="200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EcoSkiller Platform — Institute Research Documentation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240" w:after="200"/>
      <w:outlineLvl w:val="0"/>
    </w:pPr>
    <w:rPr>
      <w:rFonts w:ascii="Arial" w:cs="Arial" w:eastAsia="Arial" w:hAnsi="Arial"/>
      <w:b/>
      <w:bCs/>
      <w:color w:val="1F7A4D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180" w:after="150"/>
      <w:outlineLvl w:val="1"/>
    </w:pPr>
    <w:rPr>
      <w:rFonts w:ascii="Arial" w:cs="Arial" w:eastAsia="Arial" w:hAnsi="Arial"/>
      <w:b/>
      <w:bCs/>
      <w:color w:val="1A1A2E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2026-03-09T07:46:53.343Z</dcterms:created>
  <dcterms:modified xsi:type="dcterms:W3CDTF">2026-03-09T07:46:53.343Z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