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Feature Access by Plan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K) Subscription &amp; Billing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Clear communication of what each plan includes prevents disappointment and builds trust. Feature Access by Plan gives institutes a transparent, detailed map of which features are available at which subscription tier — so there are no surprises after payment.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Basic Plan Features: </w:t>
      </w:r>
      <w:r>
        <w:rPr>
          <w:rFonts w:ascii="Arial" w:cs="Arial" w:eastAsia="Arial" w:hAnsi="Arial"/>
          <w:sz w:val="22"/>
          <w:szCs w:val="22"/>
        </w:rPr>
        <w:t xml:space="preserve">Student Management (enrollment, attendance, batch, progress dashboard), LMS access (standard course library, 20 courses), Automated GD Module (4 sessions/month, up to 8 students per room), Basic Analytics (placement rate, LMS completion), Bulk Notifications, Announcement Board, Parent Communication Portal. Suitable for small coaching institutes.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Standard Plan Features: </w:t>
      </w:r>
      <w:r>
        <w:rPr>
          <w:rFonts w:ascii="Arial" w:cs="Arial" w:eastAsia="Arial" w:hAnsi="Arial"/>
          <w:sz w:val="22"/>
          <w:szCs w:val="22"/>
        </w:rPr>
        <w:t xml:space="preserve">Everything in Basic plus: Tournament Module (4 tournaments/year, all categories), Industry Visit Module (trip vendor, parent approval, visit records), Placement &amp; Recruiter Management (full), Faculty &amp; Trainer Management (full), Advanced Analytics (skill gap, department comparison, cohort analysis), Grievance Redressal System, Alumni Network Management. Suitable for mid-size colleges.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Premium Plan Features: </w:t>
      </w:r>
      <w:r>
        <w:rPr>
          <w:rFonts w:ascii="Arial" w:cs="Arial" w:eastAsia="Arial" w:hAnsi="Arial"/>
          <w:sz w:val="22"/>
          <w:szCs w:val="22"/>
        </w:rPr>
        <w:t xml:space="preserve">Everything in Standard plus: Project Marketplace (full access — post, approve, track), Board of Directors Monthly Report (auto-generated), Compliance Report Auto-Generation (AICTE, NAAC, NIRF), Crisis Management Dashboard, Custom Report Builder, Financial Overview Dashboard, Student Cohort Analysis. Suitable for large colleges and universities.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Enterprise Plan Features: </w:t>
      </w:r>
      <w:r>
        <w:rPr>
          <w:rFonts w:ascii="Arial" w:cs="Arial" w:eastAsia="Arial" w:hAnsi="Arial"/>
          <w:sz w:val="22"/>
          <w:szCs w:val="22"/>
        </w:rPr>
        <w:t xml:space="preserve">Everything in Premium plus: Multi-Campus Management (manage multiple campuses under one account), Dedicated Account Manager, Custom Integration Support (connect with institute's existing ERP or HRMS), SLA-backed 99.9% uptime guarantee, Priority Support (4-hour response SLA), Custom Feature Development (institute-specific features built on request).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Feature Unlock on Upgrade: </w:t>
      </w:r>
      <w:r>
        <w:rPr>
          <w:rFonts w:ascii="Arial" w:cs="Arial" w:eastAsia="Arial" w:hAnsi="Arial"/>
          <w:sz w:val="22"/>
          <w:szCs w:val="22"/>
        </w:rPr>
        <w:t xml:space="preserve">When institute upgrades to a higher plan, features unlock immediately. A notification list shows exactly which new features are now available — "You now have access to: Tournament Module, Industry Visit Module, Placement Management, and 5 more features." Onboarding guide for each new feature is provided.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Feature Lock on Downgrade: </w:t>
      </w:r>
      <w:r>
        <w:rPr>
          <w:rFonts w:ascii="Arial" w:cs="Arial" w:eastAsia="Arial" w:hAnsi="Arial"/>
          <w:sz w:val="22"/>
          <w:szCs w:val="22"/>
        </w:rPr>
        <w:t xml:space="preserve">When downgrading, features that are not part of the lower plan are locked at the end of the current billing period. Data in those features remains visible (read-only) for 90 days after downgrade. After 90 days, data is archived but recoverable if institute upgrades again.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Add-On Features: </w:t>
      </w:r>
      <w:r>
        <w:rPr>
          <w:rFonts w:ascii="Arial" w:cs="Arial" w:eastAsia="Arial" w:hAnsi="Arial"/>
          <w:sz w:val="22"/>
          <w:szCs w:val="22"/>
        </w:rPr>
        <w:t xml:space="preserve">Some features are available as add-ons regardless of plan — DigiLocker Integration (Rs 500/month), WhatsApp Notification API (Rs 1,000/month for 10,000 messages), Advanced AI Proctoring for exams (Rs 2/exam attempt). Add-ons are billed separately from main subscription.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Usage Limits by Plan: </w:t>
      </w:r>
      <w:r>
        <w:rPr>
          <w:rFonts w:ascii="Arial" w:cs="Arial" w:eastAsia="Arial" w:hAnsi="Arial"/>
          <w:sz w:val="22"/>
          <w:szCs w:val="22"/>
        </w:rPr>
        <w:t xml:space="preserve">Quantitative limits are clearly defined — GD sessions per month, tournaments per year, industry visits per year, project marketplace projects per month. When approaching a limit, institute gets an alert and option to purchase additional capacity without upgrading full plan.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Feature Trial within Paid Plan: </w:t>
      </w:r>
      <w:r>
        <w:rPr>
          <w:rFonts w:ascii="Arial" w:cs="Arial" w:eastAsia="Arial" w:hAnsi="Arial"/>
          <w:sz w:val="22"/>
          <w:szCs w:val="22"/>
        </w:rPr>
        <w:t xml:space="preserve">Even within a paid plan, some premium features not in the plan can be trialed for 7 days — institute experiences the feature before deciding to upgrade. Trial is available once per feature per year.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Feature Comparison Always Accessible: </w:t>
      </w:r>
      <w:r>
        <w:rPr>
          <w:rFonts w:ascii="Arial" w:cs="Arial" w:eastAsia="Arial" w:hAnsi="Arial"/>
          <w:sz w:val="22"/>
          <w:szCs w:val="22"/>
        </w:rPr>
        <w:t xml:space="preserve">The plan comparison table is always accessible from within the platform — even after subscription. Institute can revisit the comparison anytime to evaluate whether upgrading makes sense. No friction in accessing pricing information.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2026-03-09T07:46:53.556Z</dcterms:created>
  <dcterms:modified xsi:type="dcterms:W3CDTF">2026-03-09T07:46:53.556Z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