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rFonts w:ascii="Arial" w:cs="Arial" w:eastAsia="Arial" w:hAnsi="Arial"/>
          <w:b/>
          <w:bCs/>
          <w:color w:val="1F7A4D"/>
          <w:sz w:val="36"/>
          <w:szCs w:val="36"/>
        </w:rPr>
        <w:t xml:space="preserve">Refund &amp; Cancellation Policy</w:t>
      </w:r>
    </w:p>
    <w:p>
      <w:pPr>
        <w:spacing w:after="100"/>
      </w:pPr>
      <w:r>
        <w:rPr>
          <w:rFonts w:ascii="Arial" w:cs="Arial" w:eastAsia="Arial" w:hAnsi="Arial"/>
          <w:b/>
          <w:bCs/>
          <w:color w:val="555555"/>
          <w:sz w:val="22"/>
          <w:szCs w:val="22"/>
        </w:rPr>
        <w:t xml:space="preserve">Feature Group: </w:t>
      </w:r>
      <w:r>
        <w:rPr>
          <w:rFonts w:ascii="Arial" w:cs="Arial" w:eastAsia="Arial" w:hAnsi="Arial"/>
          <w:b/>
          <w:bCs/>
          <w:color w:val="1F7A4D"/>
          <w:sz w:val="22"/>
          <w:szCs w:val="22"/>
        </w:rPr>
        <w:t xml:space="preserve">K) Subscription &amp; Billing Management</w:t>
      </w:r>
    </w:p>
    <w:p>
      <w:pPr>
        <w:spacing w:after="300"/>
      </w:pPr>
      <w:r>
        <w:rPr>
          <w:rFonts w:ascii="Arial" w:cs="Arial" w:eastAsia="Arial" w:hAnsi="Arial"/>
          <w:b/>
          <w:bCs/>
          <w:color w:val="555555"/>
          <w:sz w:val="22"/>
          <w:szCs w:val="22"/>
        </w:rPr>
        <w:t xml:space="preserve">Platform: </w:t>
      </w:r>
      <w:r>
        <w:rPr>
          <w:rFonts w:ascii="Arial" w:cs="Arial" w:eastAsia="Arial" w:hAnsi="Arial"/>
          <w:sz w:val="22"/>
          <w:szCs w:val="22"/>
        </w:rPr>
        <w:t xml:space="preserve">EcoSkiller — Institute Module</w:t>
      </w:r>
    </w:p>
    <w:p>
      <w:pPr>
        <w:pBdr>
          <w:bottom w:val="single" w:color="1F7A4D" w:sz="6" w:space="1"/>
        </w:pBdr>
        <w:spacing w:after="300"/>
      </w:pPr>
    </w:p>
    <w:p>
      <w:pPr>
        <w:pStyle w:val="Heading2"/>
        <w:spacing w:after="150"/>
      </w:pPr>
      <w:r>
        <w:rPr>
          <w:rFonts w:ascii="Arial" w:cs="Arial" w:eastAsia="Arial" w:hAnsi="Arial"/>
          <w:b/>
          <w:bCs/>
          <w:color w:val="1A1A2E"/>
          <w:sz w:val="28"/>
          <w:szCs w:val="28"/>
        </w:rPr>
        <w:t xml:space="preserve">Overview</w:t>
      </w:r>
    </w:p>
    <w:p>
      <w:pPr>
        <w:spacing w:after="300"/>
      </w:pPr>
      <w:r>
        <w:rPr>
          <w:rFonts w:ascii="Arial" w:cs="Arial" w:eastAsia="Arial" w:hAnsi="Arial"/>
          <w:sz w:val="22"/>
          <w:szCs w:val="22"/>
        </w:rPr>
        <w:t xml:space="preserve">A clear, fair refund and cancellation policy builds trust with institutes considering EcoSkiller. Institutes need to know what happens to their money if they cancel and what happens to their data. Transparency here is non-negotiable.</w:t>
      </w:r>
    </w:p>
    <w:p>
      <w:pPr>
        <w:pStyle w:val="Heading2"/>
        <w:spacing w:after="150"/>
      </w:pPr>
      <w:r>
        <w:rPr>
          <w:rFonts w:ascii="Arial" w:cs="Arial" w:eastAsia="Arial" w:hAnsi="Arial"/>
          <w:b/>
          <w:bCs/>
          <w:color w:val="1A1A2E"/>
          <w:sz w:val="28"/>
          <w:szCs w:val="28"/>
        </w:rPr>
        <w:t xml:space="preserve">Detailed Functionality</w:t>
      </w:r>
    </w:p>
    <w:p>
      <w:pPr>
        <w:pStyle w:val="ListParagraph"/>
        <w:numPr>
          <w:ilvl w:val="0"/>
          <w:numId w:val="2"/>
        </w:numPr>
        <w:spacing w:after="120"/>
      </w:pPr>
      <w:r>
        <w:rPr>
          <w:rFonts w:ascii="Arial" w:cs="Arial" w:eastAsia="Arial" w:hAnsi="Arial"/>
          <w:b/>
          <w:bCs/>
          <w:color w:val="1F7A4D"/>
          <w:sz w:val="22"/>
          <w:szCs w:val="22"/>
        </w:rPr>
        <w:t xml:space="preserve">Monthly Subscription Cancellation: </w:t>
      </w:r>
      <w:r>
        <w:rPr>
          <w:rFonts w:ascii="Arial" w:cs="Arial" w:eastAsia="Arial" w:hAnsi="Arial"/>
          <w:sz w:val="22"/>
          <w:szCs w:val="22"/>
        </w:rPr>
        <w:t xml:space="preserve">Monthly subscribers can cancel anytime. Cancellation takes effect at end of the current billing month. No refund for the current month — institute has paid for and can use the service until the month ends. Future renewals stop.</w:t>
      </w:r>
    </w:p>
    <w:p>
      <w:pPr>
        <w:pStyle w:val="ListParagraph"/>
        <w:numPr>
          <w:ilvl w:val="0"/>
          <w:numId w:val="2"/>
        </w:numPr>
        <w:spacing w:after="120"/>
      </w:pPr>
      <w:r>
        <w:rPr>
          <w:rFonts w:ascii="Arial" w:cs="Arial" w:eastAsia="Arial" w:hAnsi="Arial"/>
          <w:b/>
          <w:bCs/>
          <w:color w:val="1F7A4D"/>
          <w:sz w:val="22"/>
          <w:szCs w:val="22"/>
        </w:rPr>
        <w:t xml:space="preserve">Annual Subscription Cancellation: </w:t>
      </w:r>
      <w:r>
        <w:rPr>
          <w:rFonts w:ascii="Arial" w:cs="Arial" w:eastAsia="Arial" w:hAnsi="Arial"/>
          <w:sz w:val="22"/>
          <w:szCs w:val="22"/>
        </w:rPr>
        <w:t xml:space="preserve">Annual subscribers who cancel within 7 days of purchase receive a full refund. Cancellations between day 8 and day 30 receive a prorated refund (amount paid minus days used). After day 30, no refund for annual subscriptions — this matches standard SaaS industry practice.</w:t>
      </w:r>
    </w:p>
    <w:p>
      <w:pPr>
        <w:pStyle w:val="ListParagraph"/>
        <w:numPr>
          <w:ilvl w:val="0"/>
          <w:numId w:val="2"/>
        </w:numPr>
        <w:spacing w:after="120"/>
      </w:pPr>
      <w:r>
        <w:rPr>
          <w:rFonts w:ascii="Arial" w:cs="Arial" w:eastAsia="Arial" w:hAnsi="Arial"/>
          <w:b/>
          <w:bCs/>
          <w:color w:val="1F7A4D"/>
          <w:sz w:val="22"/>
          <w:szCs w:val="22"/>
        </w:rPr>
        <w:t xml:space="preserve">Refund Eligibility Conditions: </w:t>
      </w:r>
      <w:r>
        <w:rPr>
          <w:rFonts w:ascii="Arial" w:cs="Arial" w:eastAsia="Arial" w:hAnsi="Arial"/>
          <w:sz w:val="22"/>
          <w:szCs w:val="22"/>
        </w:rPr>
        <w:t xml:space="preserve">Refund is available for: Accidental duplicate payment (full refund), Payment for wrong plan (difference refunded), Technical failure where service was not delivered (full refund), Annual cancellation within 7 days (full refund). Refund requests must be submitted within the eligible window.</w:t>
      </w:r>
    </w:p>
    <w:p>
      <w:pPr>
        <w:pStyle w:val="ListParagraph"/>
        <w:numPr>
          <w:ilvl w:val="0"/>
          <w:numId w:val="2"/>
        </w:numPr>
        <w:spacing w:after="120"/>
      </w:pPr>
      <w:r>
        <w:rPr>
          <w:rFonts w:ascii="Arial" w:cs="Arial" w:eastAsia="Arial" w:hAnsi="Arial"/>
          <w:b/>
          <w:bCs/>
          <w:color w:val="1F7A4D"/>
          <w:sz w:val="22"/>
          <w:szCs w:val="22"/>
        </w:rPr>
        <w:t xml:space="preserve">Refund Request Process: </w:t>
      </w:r>
      <w:r>
        <w:rPr>
          <w:rFonts w:ascii="Arial" w:cs="Arial" w:eastAsia="Arial" w:hAnsi="Arial"/>
          <w:sz w:val="22"/>
          <w:szCs w:val="22"/>
        </w:rPr>
        <w:t xml:space="preserve">Institute admin submits a refund request through Billing section — selects transaction, selects refund reason from dropdown, adds explanation (optional), and submits. EcoSkiller reviews within 2 working days. Approved refunds are processed within 5-7 working days.</w:t>
      </w:r>
    </w:p>
    <w:p>
      <w:pPr>
        <w:pStyle w:val="ListParagraph"/>
        <w:numPr>
          <w:ilvl w:val="0"/>
          <w:numId w:val="2"/>
        </w:numPr>
        <w:spacing w:after="120"/>
      </w:pPr>
      <w:r>
        <w:rPr>
          <w:rFonts w:ascii="Arial" w:cs="Arial" w:eastAsia="Arial" w:hAnsi="Arial"/>
          <w:b/>
          <w:bCs/>
          <w:color w:val="1F7A4D"/>
          <w:sz w:val="22"/>
          <w:szCs w:val="22"/>
        </w:rPr>
        <w:t xml:space="preserve">Refund Method: </w:t>
      </w:r>
      <w:r>
        <w:rPr>
          <w:rFonts w:ascii="Arial" w:cs="Arial" w:eastAsia="Arial" w:hAnsi="Arial"/>
          <w:sz w:val="22"/>
          <w:szCs w:val="22"/>
        </w:rPr>
        <w:t xml:space="preserve">Refunds are always returned to the original payment method — UPI refund to UPI account, card refund to original card, bank transfer refund to source account. Refunds cannot be sent to a different account for security reasons.</w:t>
      </w:r>
    </w:p>
    <w:p>
      <w:pPr>
        <w:pStyle w:val="ListParagraph"/>
        <w:numPr>
          <w:ilvl w:val="0"/>
          <w:numId w:val="2"/>
        </w:numPr>
        <w:spacing w:after="120"/>
      </w:pPr>
      <w:r>
        <w:rPr>
          <w:rFonts w:ascii="Arial" w:cs="Arial" w:eastAsia="Arial" w:hAnsi="Arial"/>
          <w:b/>
          <w:bCs/>
          <w:color w:val="1F7A4D"/>
          <w:sz w:val="22"/>
          <w:szCs w:val="22"/>
        </w:rPr>
        <w:t xml:space="preserve">Data After Cancellation: </w:t>
      </w:r>
      <w:r>
        <w:rPr>
          <w:rFonts w:ascii="Arial" w:cs="Arial" w:eastAsia="Arial" w:hAnsi="Arial"/>
          <w:sz w:val="22"/>
          <w:szCs w:val="22"/>
        </w:rPr>
        <w:t xml:space="preserve">After cancellation, all institute data is preserved for 90 days in read-only mode. Institute can download all their data — student records, reports, certificates — during this window. After 90 days, data is permanently deleted. 30-day and 7-day deletion warnings are sent.</w:t>
      </w:r>
    </w:p>
    <w:p>
      <w:pPr>
        <w:pStyle w:val="ListParagraph"/>
        <w:numPr>
          <w:ilvl w:val="0"/>
          <w:numId w:val="2"/>
        </w:numPr>
        <w:spacing w:after="120"/>
      </w:pPr>
      <w:r>
        <w:rPr>
          <w:rFonts w:ascii="Arial" w:cs="Arial" w:eastAsia="Arial" w:hAnsi="Arial"/>
          <w:b/>
          <w:bCs/>
          <w:color w:val="1F7A4D"/>
          <w:sz w:val="22"/>
          <w:szCs w:val="22"/>
        </w:rPr>
        <w:t xml:space="preserve">No Cancellation Fee: </w:t>
      </w:r>
      <w:r>
        <w:rPr>
          <w:rFonts w:ascii="Arial" w:cs="Arial" w:eastAsia="Arial" w:hAnsi="Arial"/>
          <w:sz w:val="22"/>
          <w:szCs w:val="22"/>
        </w:rPr>
        <w:t xml:space="preserve">EcoSkiller does not charge any cancellation fee or early termination fee. If an institute decides the platform is not right for them, they can cancel without penalty. Fairness builds long-term reputation.</w:t>
      </w:r>
    </w:p>
    <w:p>
      <w:pPr>
        <w:pStyle w:val="ListParagraph"/>
        <w:numPr>
          <w:ilvl w:val="0"/>
          <w:numId w:val="2"/>
        </w:numPr>
        <w:spacing w:after="120"/>
      </w:pPr>
      <w:r>
        <w:rPr>
          <w:rFonts w:ascii="Arial" w:cs="Arial" w:eastAsia="Arial" w:hAnsi="Arial"/>
          <w:b/>
          <w:bCs/>
          <w:color w:val="1F7A4D"/>
          <w:sz w:val="22"/>
          <w:szCs w:val="22"/>
        </w:rPr>
        <w:t xml:space="preserve">Reactivation After Cancellation: </w:t>
      </w:r>
      <w:r>
        <w:rPr>
          <w:rFonts w:ascii="Arial" w:cs="Arial" w:eastAsia="Arial" w:hAnsi="Arial"/>
          <w:sz w:val="22"/>
          <w:szCs w:val="22"/>
        </w:rPr>
        <w:t xml:space="preserve">Institute that cancelled can reactivate within the 90-day data preservation window — all data is restored immediately. After 90 days, reactivation starts fresh. Former institute admins who rejoin get a 30% loyalty discount on their first 3 months.</w:t>
      </w:r>
    </w:p>
    <w:p>
      <w:pPr>
        <w:pStyle w:val="ListParagraph"/>
        <w:numPr>
          <w:ilvl w:val="0"/>
          <w:numId w:val="2"/>
        </w:numPr>
        <w:spacing w:after="120"/>
      </w:pPr>
      <w:r>
        <w:rPr>
          <w:rFonts w:ascii="Arial" w:cs="Arial" w:eastAsia="Arial" w:hAnsi="Arial"/>
          <w:b/>
          <w:bCs/>
          <w:color w:val="1F7A4D"/>
          <w:sz w:val="22"/>
          <w:szCs w:val="22"/>
        </w:rPr>
        <w:t xml:space="preserve">Force Majeure Exceptions: </w:t>
      </w:r>
      <w:r>
        <w:rPr>
          <w:rFonts w:ascii="Arial" w:cs="Arial" w:eastAsia="Arial" w:hAnsi="Arial"/>
          <w:sz w:val="22"/>
          <w:szCs w:val="22"/>
        </w:rPr>
        <w:t xml:space="preserve">In case of events beyond institute's control — natural disaster, government order to close, pandemic closure — EcoSkiller offers subscription pause (not cancellation) for up to 3 months with data preserved and no charges during pause period.</w:t>
      </w:r>
    </w:p>
    <w:p>
      <w:pPr>
        <w:pStyle w:val="ListParagraph"/>
        <w:numPr>
          <w:ilvl w:val="0"/>
          <w:numId w:val="2"/>
        </w:numPr>
        <w:spacing w:after="120"/>
      </w:pPr>
      <w:r>
        <w:rPr>
          <w:rFonts w:ascii="Arial" w:cs="Arial" w:eastAsia="Arial" w:hAnsi="Arial"/>
          <w:b/>
          <w:bCs/>
          <w:color w:val="1F7A4D"/>
          <w:sz w:val="22"/>
          <w:szCs w:val="22"/>
        </w:rPr>
        <w:t xml:space="preserve">Policy Dispute Resolution: </w:t>
      </w:r>
      <w:r>
        <w:rPr>
          <w:rFonts w:ascii="Arial" w:cs="Arial" w:eastAsia="Arial" w:hAnsi="Arial"/>
          <w:sz w:val="22"/>
          <w:szCs w:val="22"/>
        </w:rPr>
        <w:t xml:space="preserve">If institute disagrees with a refund decision, they can escalate to EcoSkiller's billing dispute team within 30 days of the refund decision. Dispute team reviews independently and responds within 5 working days with a final decision.</w:t>
      </w:r>
    </w:p>
    <w:p>
      <w:pPr>
        <w:spacing w:after="300"/>
      </w:pPr>
    </w:p>
    <w:p>
      <w:pPr>
        <w:pBdr>
          <w:top w:val="single" w:color="CCCCCC" w:sz="4" w:space="1"/>
        </w:pBdr>
        <w:spacing w:before="200"/>
      </w:pPr>
      <w:r>
        <w:rPr>
          <w:rFonts w:ascii="Arial" w:cs="Arial" w:eastAsia="Arial" w:hAnsi="Arial"/>
          <w:i/>
          <w:iCs/>
          <w:color w:val="888888"/>
          <w:sz w:val="18"/>
          <w:szCs w:val="18"/>
        </w:rPr>
        <w:t xml:space="preserve">EcoSkiller Platform — Institute Research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F7A4D"/>
      <w:sz w:val="36"/>
      <w:szCs w:val="36"/>
    </w:rPr>
  </w:style>
  <w:style w:type="paragraph" w:styleId="Heading2">
    <w:name w:val="Heading 2"/>
    <w:basedOn w:val="Normal"/>
    <w:next w:val="Normal"/>
    <w:qFormat/>
    <w:pPr>
      <w:spacing w:before="180" w:after="15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2026-03-09T07:46:53.625Z</dcterms:created>
  <dcterms:modified xsi:type="dcterms:W3CDTF">2026-03-09T07:46:53.625Z</dcterms:modified>
</cp:coreProperties>
</file>

<file path=docProps/custom.xml><?xml version="1.0" encoding="utf-8"?>
<Properties xmlns="http://schemas.openxmlformats.org/officeDocument/2006/custom-properties" xmlns:vt="http://schemas.openxmlformats.org/officeDocument/2006/docPropsVTypes"/>
</file>