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
      </w:pPr>
      <w:r>
        <w:rPr>
          <w:rFonts w:ascii="Arial" w:cs="Arial" w:eastAsia="Arial" w:hAnsi="Arial"/>
          <w:b/>
          <w:bCs/>
          <w:color w:val="1B5E20"/>
          <w:sz w:val="72"/>
          <w:szCs w:val="72"/>
        </w:rPr>
        <w:t xml:space="preserve">ECOSKILLER</w:t>
      </w:r>
    </w:p>
    <w:p>
      <w:pPr>
        <w:spacing w:before="0" w:after="60"/>
      </w:pPr>
      <w:r>
        <w:rPr>
          <w:rFonts w:ascii="Arial" w:cs="Arial" w:eastAsia="Arial" w:hAnsi="Arial"/>
          <w:b/>
          <w:bCs/>
          <w:color w:val="00695C"/>
          <w:sz w:val="40"/>
          <w:szCs w:val="40"/>
        </w:rPr>
        <w:t xml:space="preserve">Mentor Module</w:t>
      </w:r>
    </w:p>
    <w:p>
      <w:pPr>
        <w:spacing w:before="0" w:after="60"/>
      </w:pPr>
      <w:r>
        <w:rPr>
          <w:rFonts w:ascii="Arial" w:cs="Arial" w:eastAsia="Arial" w:hAnsi="Arial"/>
          <w:b/>
          <w:bCs/>
          <w:color w:val="388E3C"/>
          <w:sz w:val="32"/>
          <w:szCs w:val="32"/>
        </w:rPr>
        <w:t xml:space="preserve">Section F: Dojo &amp; GD Integration</w:t>
      </w:r>
    </w:p>
    <w:p>
      <w:pPr>
        <w:spacing w:before="0" w:after="60"/>
      </w:pPr>
      <w:r>
        <w:rPr>
          <w:rFonts w:ascii="Arial" w:cs="Arial" w:eastAsia="Arial" w:hAnsi="Arial"/>
          <w:color w:val="616161"/>
          <w:sz w:val="24"/>
          <w:szCs w:val="24"/>
        </w:rPr>
        <w:t xml:space="preserve">Complete Feature Documentation</w:t>
      </w:r>
    </w:p>
    <w:p>
      <w:pPr>
        <w:spacing w:before="0" w:after="500"/>
      </w:pPr>
      <w:r>
        <w:rPr>
          <w:rFonts w:ascii="Arial" w:cs="Arial" w:eastAsia="Arial" w:hAnsi="Arial"/>
          <w:i/>
          <w:iCs/>
          <w:color w:val="616161"/>
          <w:sz w:val="20"/>
          <w:szCs w:val="20"/>
        </w:rPr>
        <w:t xml:space="preserve">Version 1.0  |  March 2026  |  Confidential</w:t>
      </w:r>
    </w:p>
    <w:p>
      <w:pPr>
        <w:pBdr>
          <w:bottom w:val="single" w:color="1B5E20" w:sz="16" w:space="1"/>
        </w:pBdr>
        <w:spacing w:before="0" w:after="0"/>
      </w:pPr>
    </w:p>
    <w:p>
      <w:pPr>
        <w:spacing w:before="400" w:after="100"/>
      </w:pPr>
      <w:r>
        <w:rPr>
          <w:rFonts w:ascii="Arial" w:cs="Arial" w:eastAsia="Arial" w:hAnsi="Arial"/>
          <w:b/>
          <w:bCs/>
          <w:color w:val="1B5E20"/>
          <w:sz w:val="28"/>
          <w:szCs w:val="28"/>
        </w:rPr>
        <w:t xml:space="preserve">About This Document</w:t>
      </w:r>
    </w:p>
    <w:p>
      <w:pPr>
        <w:spacing w:before="80" w:after="80" w:line="276"/>
        <w:jc w:val="left"/>
      </w:pPr>
      <w:r>
        <w:rPr>
          <w:rFonts w:ascii="Arial" w:cs="Arial" w:eastAsia="Arial" w:hAnsi="Arial"/>
          <w:b w:val="false"/>
          <w:bCs w:val="false"/>
          <w:i w:val="false"/>
          <w:iCs w:val="false"/>
          <w:color w:val="1A1A1A"/>
          <w:sz w:val="22"/>
          <w:szCs w:val="22"/>
        </w:rPr>
        <w:t xml:space="preserve">This document provides complete operational documentation for Section F (Dojo &amp; GD Integration) of the EcoSkiller Mentor Module. It covers all 6 features in full detail — including purpose, functionality, end-to-end workflow, real-world example scenarios, visibility rules, and implementation checklists.</w:t>
      </w:r>
    </w:p>
    <w:p>
      <w:pPr>
        <w:spacing w:before="80" w:after="80" w:line="276"/>
        <w:jc w:val="left"/>
      </w:pPr>
      <w:r>
        <w:rPr>
          <w:rFonts w:ascii="Arial" w:cs="Arial" w:eastAsia="Arial" w:hAnsi="Arial"/>
          <w:b w:val="false"/>
          <w:bCs w:val="false"/>
          <w:i w:val="false"/>
          <w:iCs w:val="false"/>
          <w:color w:val="1A1A1A"/>
          <w:sz w:val="22"/>
          <w:szCs w:val="22"/>
        </w:rPr>
        <w:t xml:space="preserve">Section F is the data-driven coaching layer of the Mentor Module. It integrates two platform systems — the Dojo (daily practice hub) and GD (Group Discussion assessment engine) — into the mentor's view, enabling coaching precision that is impossible without platform data. A mentor who uses only session time to assess a student is working with a 1-hour-per-week window into that student's efforts. Section F gives the mentor a 24/7 data feed: how many days the student practised, which challenges they skipped, how their GD score is trending, and exactly which communication behaviours need targeted intervention.</w:t>
      </w:r>
    </w:p>
    <w:p>
      <w:pPr>
        <w:spacing w:before="80" w:after="300" w:line="276"/>
        <w:jc w:val="left"/>
      </w:pPr>
      <w:r>
        <w:rPr>
          <w:rFonts w:ascii="Arial" w:cs="Arial" w:eastAsia="Arial" w:hAnsi="Arial"/>
          <w:b w:val="false"/>
          <w:bCs w:val="false"/>
          <w:i w:val="false"/>
          <w:iCs w:val="false"/>
          <w:color w:val="1A1A1A"/>
          <w:sz w:val="22"/>
          <w:szCs w:val="22"/>
        </w:rPr>
        <w:t xml:space="preserve">The 6 features in Section F follow a logical progression: the mentor first observes Dojo activity data (F.1), then acts on it by assigning custom practice (F.2). Separately, the mentor analyses GD performance history (F.3), identifies specific weaknesses (F.4), and when the student is ready, issues a formal GD Readiness Certificate (F.5). Before any high-stakes GD, the mentor provides a focused Pre-GD coaching session (F.6) that translates all of the data insights into concrete, session-ready preparation.</w:t>
      </w:r>
    </w:p>
    <w:p>
      <w:pPr>
        <w:pBdr>
          <w:bottom w:val="single" w:color="1B5E20" w:sz="6" w:space="2"/>
        </w:pBdr>
        <w:spacing w:before="300" w:after="120"/>
      </w:pPr>
      <w:r>
        <w:rPr>
          <w:rFonts w:ascii="Arial" w:cs="Arial" w:eastAsia="Arial" w:hAnsi="Arial"/>
          <w:b/>
          <w:bCs/>
          <w:color w:val="1B5E20"/>
          <w:sz w:val="26"/>
          <w:szCs w:val="26"/>
        </w:rPr>
        <w:t xml:space="preserve">Section F — Feature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600"/>
        <w:gridCol w:w="3720"/>
        <w:gridCol w:w="2500"/>
      </w:tblGrid>
      <w:tr>
        <w:trPr>
          <w:tblHeader/>
        </w:trPr>
        <w:tc>
          <w:tcPr>
            <w:tcW w:type="dxa" w:w="54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No.</w:t>
            </w:r>
          </w:p>
        </w:tc>
        <w:tc>
          <w:tcPr>
            <w:tcW w:type="dxa" w:w="26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Feature Name</w:t>
            </w:r>
          </w:p>
        </w:tc>
        <w:tc>
          <w:tcPr>
            <w:tcW w:type="dxa" w:w="372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Core Purpose</w:t>
            </w:r>
          </w:p>
        </w:tc>
        <w:tc>
          <w:tcPr>
            <w:tcW w:type="dxa" w:w="25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Key Output</w:t>
            </w:r>
          </w:p>
        </w:tc>
      </w:tr>
      <w:tr>
        <w:tc>
          <w:tcPr>
            <w:tcW w:type="dxa" w:w="54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1</w:t>
            </w:r>
          </w:p>
        </w:tc>
        <w:tc>
          <w:tcPr>
            <w:tcW w:type="dxa" w:w="2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Student Dojo Progress View</w:t>
            </w:r>
          </w:p>
        </w:tc>
        <w:tc>
          <w:tcPr>
            <w:tcW w:type="dxa" w:w="372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Give the mentor real-time, objective visibility into each student's daily practice habits — replacing self-reported effort esti...</w:t>
            </w:r>
          </w:p>
        </w:tc>
        <w:tc>
          <w:tcPr>
            <w:tcW w:type="dxa" w:w="25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30-day activity timeline + Engagement Score + inactivity alert</w:t>
            </w:r>
          </w:p>
        </w:tc>
      </w:tr>
      <w:tr>
        <w:tc>
          <w:tcPr>
            <w:tcW w:type="dxa" w:w="54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2</w:t>
            </w:r>
          </w:p>
        </w:tc>
        <w:tc>
          <w:tcPr>
            <w:tcW w:type="dxa" w:w="2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Custom Mission Design</w:t>
            </w:r>
          </w:p>
        </w:tc>
        <w:tc>
          <w:tcPr>
            <w:tcW w:type="dxa" w:w="372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Allow mentors to assign targeted, student-specific practice tasks directly within the Dojo — bridging the gap between generic p...</w:t>
            </w:r>
          </w:p>
        </w:tc>
        <w:tc>
          <w:tcPr>
            <w:tcW w:type="dxa" w:w="25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Mentor-assigned targeted mission in student Dojo within 60 seconds</w:t>
            </w:r>
          </w:p>
        </w:tc>
      </w:tr>
      <w:tr>
        <w:tc>
          <w:tcPr>
            <w:tcW w:type="dxa" w:w="54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3</w:t>
            </w:r>
          </w:p>
        </w:tc>
        <w:tc>
          <w:tcPr>
            <w:tcW w:type="dxa" w:w="2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GD Score Analysis</w:t>
            </w:r>
          </w:p>
        </w:tc>
        <w:tc>
          <w:tcPr>
            <w:tcW w:type="dxa" w:w="372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Give the mentor a complete, trend-based view of a student's Group Discussion performance history — transforming isolated sessio...</w:t>
            </w:r>
          </w:p>
        </w:tc>
        <w:tc>
          <w:tcPr>
            <w:tcW w:type="dxa" w:w="25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Trend graph + sub-score table + improvement velocity vs peer average</w:t>
            </w:r>
          </w:p>
        </w:tc>
      </w:tr>
      <w:tr>
        <w:tc>
          <w:tcPr>
            <w:tcW w:type="dxa" w:w="54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4</w:t>
            </w:r>
          </w:p>
        </w:tc>
        <w:tc>
          <w:tcPr>
            <w:tcW w:type="dxa" w:w="2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GD Weakness Identification</w:t>
            </w:r>
          </w:p>
        </w:tc>
        <w:tc>
          <w:tcPr>
            <w:tcW w:type="dxa" w:w="372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Enable the mentor to diagnose the precise behavioural root cause of a student's GD performance gap — so coaching interventions ...</w:t>
            </w:r>
          </w:p>
        </w:tc>
        <w:tc>
          <w:tcPr>
            <w:tcW w:type="dxa" w:w="25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Six pattern cards (Green / Amber / Red) with Coaching Tips</w:t>
            </w:r>
          </w:p>
        </w:tc>
      </w:tr>
      <w:tr>
        <w:tc>
          <w:tcPr>
            <w:tcW w:type="dxa" w:w="54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5</w:t>
            </w:r>
          </w:p>
        </w:tc>
        <w:tc>
          <w:tcPr>
            <w:tcW w:type="dxa" w:w="2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GD Readiness Certification</w:t>
            </w:r>
          </w:p>
        </w:tc>
        <w:tc>
          <w:tcPr>
            <w:tcW w:type="dxa" w:w="372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Provide a formal, mentor-issued credential that signals to recruiters that a specific student has been professionally assessed ...</w:t>
            </w:r>
          </w:p>
        </w:tc>
        <w:tc>
          <w:tcPr>
            <w:tcW w:type="dxa" w:w="25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Verifiable GD Readiness Certificate on student's public profile</w:t>
            </w:r>
          </w:p>
        </w:tc>
      </w:tr>
      <w:tr>
        <w:tc>
          <w:tcPr>
            <w:tcW w:type="dxa" w:w="54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6</w:t>
            </w:r>
          </w:p>
        </w:tc>
        <w:tc>
          <w:tcPr>
            <w:tcW w:type="dxa" w:w="2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Pre-GD Coaching Session</w:t>
            </w:r>
          </w:p>
        </w:tc>
        <w:tc>
          <w:tcPr>
            <w:tcW w:type="dxa" w:w="372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Provide a focused, short-format coaching session immediately before a student's scheduled GD — targeting the specific weaknesse...</w:t>
            </w:r>
          </w:p>
        </w:tc>
        <w:tc>
          <w:tcPr>
            <w:tcW w:type="dxa" w:w="25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Pre-GD Preparation Note with topic points, targets, confidence assessment</w:t>
            </w:r>
          </w:p>
        </w:tc>
      </w:tr>
    </w:tbl>
    <w:p>
      <w:pPr>
        <w:spacing w:before="400" w:after="0"/>
      </w:pPr>
    </w:p>
    <w:p>
      <w:pPr>
        <w:pageBreakBefore/>
        <w:spacing w:before="0" w:after="0"/>
      </w:pPr>
    </w:p>
    <w:p>
      <w:pPr>
        <w:pBdr>
          <w:bottom w:val="single" w:color="1B5E20" w:sz="6" w:space="2"/>
        </w:pBdr>
        <w:spacing w:before="200" w:after="120"/>
      </w:pPr>
      <w:r>
        <w:rPr>
          <w:rFonts w:ascii="Arial" w:cs="Arial" w:eastAsia="Arial" w:hAnsi="Arial"/>
          <w:b/>
          <w:bCs/>
          <w:color w:val="1B5E20"/>
          <w:sz w:val="26"/>
          <w:szCs w:val="26"/>
        </w:rPr>
        <w:t xml:space="preserve">GD Weakness Patterns — Complete Reference (Feature F.4)</w:t>
      </w:r>
    </w:p>
    <w:p>
      <w:pPr>
        <w:spacing w:before="80" w:after="160" w:line="276"/>
        <w:jc w:val="left"/>
      </w:pPr>
      <w:r>
        <w:rPr>
          <w:rFonts w:ascii="Arial" w:cs="Arial" w:eastAsia="Arial" w:hAnsi="Arial"/>
          <w:b w:val="false"/>
          <w:bCs w:val="false"/>
          <w:i/>
          <w:iCs/>
          <w:color w:val="616161"/>
          <w:sz w:val="22"/>
          <w:szCs w:val="22"/>
        </w:rPr>
        <w:t xml:space="preserve">This table defines all six GD weakness patterns used in Feature F.4 (GD Weakness Identification). Mentors, platform designers, and QA teams should refer to this table for threshold definitions, diagnostic descriptions, and standard coaching interventions.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160"/>
        <w:gridCol w:w="3800"/>
      </w:tblGrid>
      <w:tr>
        <w:trPr>
          <w:tblHeader/>
        </w:trPr>
        <w:tc>
          <w:tcPr>
            <w:tcW w:type="dxa" w:w="1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Pattern Name</w:t>
            </w:r>
          </w:p>
        </w:tc>
        <w:tc>
          <w:tcPr>
            <w:tcW w:type="dxa" w:w="16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Threshold</w:t>
            </w:r>
          </w:p>
        </w:tc>
        <w:tc>
          <w:tcPr>
            <w:tcW w:type="dxa" w:w="21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Indicates</w:t>
            </w:r>
          </w:p>
        </w:tc>
        <w:tc>
          <w:tcPr>
            <w:tcW w:type="dxa" w:w="3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Standard Coaching Intervention</w:t>
            </w:r>
          </w:p>
        </w:tc>
      </w:tr>
      <w:tr>
        <w:tc>
          <w:tcPr>
            <w:tcW w:type="dxa" w:w="1800"/>
            <w:gridSpan w:val="1"/>
            <w:tcBorders>
              <w:top w:val="single" w:color="C8E6C9" w:sz="4"/>
              <w:left w:val="single" w:color="C8E6C9" w:sz="4"/>
              <w:bottom w:val="single" w:color="C8E6C9" w:sz="4"/>
              <w:right w:val="single" w:color="C8E6C9" w:sz="4"/>
            </w:tcBorders>
            <w:shd w:fill="FFEBEE"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B71C1C"/>
                <w:sz w:val="20"/>
                <w:szCs w:val="20"/>
              </w:rPr>
              <w:t xml:space="preserve">Speaking Time Deficit</w:t>
            </w:r>
          </w:p>
        </w:tc>
        <w:tc>
          <w:tcPr>
            <w:tcW w:type="dxa" w:w="1600"/>
            <w:gridSpan w:val="1"/>
            <w:tcBorders>
              <w:top w:val="single" w:color="C8E6C9" w:sz="4"/>
              <w:left w:val="single" w:color="C8E6C9" w:sz="4"/>
              <w:bottom w:val="single" w:color="C8E6C9" w:sz="4"/>
              <w:right w:val="single" w:color="C8E6C9" w:sz="4"/>
            </w:tcBorders>
            <w:shd w:fill="FFEBEE"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Avg speaking time &lt; 70% across last 5 sessions</w:t>
            </w:r>
          </w:p>
        </w:tc>
        <w:tc>
          <w:tcPr>
            <w:tcW w:type="dxa" w:w="2160"/>
            <w:gridSpan w:val="1"/>
            <w:tcBorders>
              <w:top w:val="single" w:color="C8E6C9" w:sz="4"/>
              <w:left w:val="single" w:color="C8E6C9" w:sz="4"/>
              <w:bottom w:val="single" w:color="C8E6C9" w:sz="4"/>
              <w:right w:val="single" w:color="C8E6C9" w:sz="4"/>
            </w:tcBorders>
            <w:shd w:fill="FFEBEE"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Confidence gap or insufficient topic preparation</w:t>
            </w:r>
          </w:p>
        </w:tc>
        <w:tc>
          <w:tcPr>
            <w:tcW w:type="dxa" w:w="3800"/>
            <w:gridSpan w:val="1"/>
            <w:tcBorders>
              <w:top w:val="single" w:color="C8E6C9" w:sz="4"/>
              <w:left w:val="single" w:color="C8E6C9" w:sz="4"/>
              <w:bottom w:val="single" w:color="C8E6C9" w:sz="4"/>
              <w:right w:val="single" w:color="C8E6C9" w:sz="4"/>
            </w:tcBorders>
            <w:shd w:fill="FFEBEE"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5-minute 'speak without stopping' drill on random topics. Pre-GD topic preparation with 4 structured key points.</w:t>
            </w:r>
          </w:p>
        </w:tc>
      </w:tr>
      <w:tr>
        <w:tc>
          <w:tcPr>
            <w:tcW w:type="dxa" w:w="1800"/>
            <w:gridSpan w:val="1"/>
            <w:tcBorders>
              <w:top w:val="single" w:color="C8E6C9" w:sz="4"/>
              <w:left w:val="single" w:color="C8E6C9" w:sz="4"/>
              <w:bottom w:val="single" w:color="C8E6C9" w:sz="4"/>
              <w:right w:val="single" w:color="C8E6C9" w:sz="4"/>
            </w:tcBorders>
            <w:shd w:fill="FFF3E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E65100"/>
                <w:sz w:val="20"/>
                <w:szCs w:val="20"/>
              </w:rPr>
              <w:t xml:space="preserve">Turn Skipping</w:t>
            </w:r>
          </w:p>
        </w:tc>
        <w:tc>
          <w:tcPr>
            <w:tcW w:type="dxa" w:w="1600"/>
            <w:gridSpan w:val="1"/>
            <w:tcBorders>
              <w:top w:val="single" w:color="C8E6C9" w:sz="4"/>
              <w:left w:val="single" w:color="C8E6C9" w:sz="4"/>
              <w:bottom w:val="single" w:color="C8E6C9" w:sz="4"/>
              <w:right w:val="single" w:color="C8E6C9" w:sz="4"/>
            </w:tcBorders>
            <w:shd w:fill="FFF3E0"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Turn skip rate &gt; 20% across all sessions</w:t>
            </w:r>
          </w:p>
        </w:tc>
        <w:tc>
          <w:tcPr>
            <w:tcW w:type="dxa" w:w="2160"/>
            <w:gridSpan w:val="1"/>
            <w:tcBorders>
              <w:top w:val="single" w:color="C8E6C9" w:sz="4"/>
              <w:left w:val="single" w:color="C8E6C9" w:sz="4"/>
              <w:bottom w:val="single" w:color="C8E6C9" w:sz="4"/>
              <w:right w:val="single" w:color="C8E6C9" w:sz="4"/>
            </w:tcBorders>
            <w:shd w:fill="FFF3E0"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Avoidance behaviour — fear of being judged mid-session</w:t>
            </w:r>
          </w:p>
        </w:tc>
        <w:tc>
          <w:tcPr>
            <w:tcW w:type="dxa" w:w="3800"/>
            <w:gridSpan w:val="1"/>
            <w:tcBorders>
              <w:top w:val="single" w:color="C8E6C9" w:sz="4"/>
              <w:left w:val="single" w:color="C8E6C9" w:sz="4"/>
              <w:bottom w:val="single" w:color="C8E6C9" w:sz="4"/>
              <w:right w:val="single" w:color="C8E6C9" w:sz="4"/>
            </w:tcBorders>
            <w:shd w:fill="FFF3E0"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Assign Communication Dojo missions. Set explicit target: 'Attempt every turn, even if you only speak 10 seconds.' Celebrate attempts over quality.</w:t>
            </w:r>
          </w:p>
        </w:tc>
      </w:tr>
      <w:tr>
        <w:tc>
          <w:tcPr>
            <w:tcW w:type="dxa" w:w="1800"/>
            <w:gridSpan w:val="1"/>
            <w:tcBorders>
              <w:top w:val="single" w:color="C8E6C9" w:sz="4"/>
              <w:left w:val="single" w:color="C8E6C9" w:sz="4"/>
              <w:bottom w:val="single" w:color="C8E6C9" w:sz="4"/>
              <w:right w:val="single" w:color="C8E6C9" w:sz="4"/>
            </w:tcBorders>
            <w:shd w:fill="FFF8E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57F17"/>
                <w:sz w:val="20"/>
                <w:szCs w:val="20"/>
              </w:rPr>
              <w:t xml:space="preserve">Interrupt Tendency</w:t>
            </w:r>
          </w:p>
        </w:tc>
        <w:tc>
          <w:tcPr>
            <w:tcW w:type="dxa" w:w="1600"/>
            <w:gridSpan w:val="1"/>
            <w:tcBorders>
              <w:top w:val="single" w:color="C8E6C9" w:sz="4"/>
              <w:left w:val="single" w:color="C8E6C9" w:sz="4"/>
              <w:bottom w:val="single" w:color="C8E6C9" w:sz="4"/>
              <w:right w:val="single" w:color="C8E6C9" w:sz="4"/>
            </w:tcBorders>
            <w:shd w:fill="FFF8E1"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Average interrupt attempts &gt; 2.0 per session</w:t>
            </w:r>
          </w:p>
        </w:tc>
        <w:tc>
          <w:tcPr>
            <w:tcW w:type="dxa" w:w="2160"/>
            <w:gridSpan w:val="1"/>
            <w:tcBorders>
              <w:top w:val="single" w:color="C8E6C9" w:sz="4"/>
              <w:left w:val="single" w:color="C8E6C9" w:sz="4"/>
              <w:bottom w:val="single" w:color="C8E6C9" w:sz="4"/>
              <w:right w:val="single" w:color="C8E6C9" w:sz="4"/>
            </w:tcBorders>
            <w:shd w:fill="FFF8E1"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Aggressive or anxious style — listening deficit</w:t>
            </w:r>
          </w:p>
        </w:tc>
        <w:tc>
          <w:tcPr>
            <w:tcW w:type="dxa" w:w="3800"/>
            <w:gridSpan w:val="1"/>
            <w:tcBorders>
              <w:top w:val="single" w:color="C8E6C9" w:sz="4"/>
              <w:left w:val="single" w:color="C8E6C9" w:sz="4"/>
              <w:bottom w:val="single" w:color="C8E6C9" w:sz="4"/>
              <w:right w:val="single" w:color="C8E6C9" w:sz="4"/>
            </w:tcBorders>
            <w:shd w:fill="FFF8E1"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Listening exercise: replay a past GD summary and ask the student to identify 3 points made by other speakers. Reinforce: 'The best GD performers are active listeners first.'</w:t>
            </w:r>
          </w:p>
        </w:tc>
      </w:tr>
      <w:tr>
        <w:tc>
          <w:tcPr>
            <w:tcW w:type="dxa" w:w="1800"/>
            <w:gridSpan w:val="1"/>
            <w:tcBorders>
              <w:top w:val="single" w:color="C8E6C9" w:sz="4"/>
              <w:left w:val="single" w:color="C8E6C9" w:sz="4"/>
              <w:bottom w:val="single" w:color="C8E6C9" w:sz="4"/>
              <w:right w:val="single" w:color="C8E6C9" w:sz="4"/>
            </w:tcBorders>
            <w:shd w:fill="E3F2FD"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D47A1"/>
                <w:sz w:val="20"/>
                <w:szCs w:val="20"/>
              </w:rPr>
              <w:t xml:space="preserve">Compliance Variance</w:t>
            </w:r>
          </w:p>
        </w:tc>
        <w:tc>
          <w:tcPr>
            <w:tcW w:type="dxa" w:w="1600"/>
            <w:gridSpan w:val="1"/>
            <w:tcBorders>
              <w:top w:val="single" w:color="C8E6C9" w:sz="4"/>
              <w:left w:val="single" w:color="C8E6C9" w:sz="4"/>
              <w:bottom w:val="single" w:color="C8E6C9" w:sz="4"/>
              <w:right w:val="single" w:color="C8E6C9" w:sz="4"/>
            </w:tcBorders>
            <w:shd w:fill="E3F2FD"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Compliance score std deviation &gt; 15 across sessions</w:t>
            </w:r>
          </w:p>
        </w:tc>
        <w:tc>
          <w:tcPr>
            <w:tcW w:type="dxa" w:w="2160"/>
            <w:gridSpan w:val="1"/>
            <w:tcBorders>
              <w:top w:val="single" w:color="C8E6C9" w:sz="4"/>
              <w:left w:val="single" w:color="C8E6C9" w:sz="4"/>
              <w:bottom w:val="single" w:color="C8E6C9" w:sz="4"/>
              <w:right w:val="single" w:color="C8E6C9" w:sz="4"/>
            </w:tcBorders>
            <w:shd w:fill="E3F2FD"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Inconsistent rule understanding or selective engagement</w:t>
            </w:r>
          </w:p>
        </w:tc>
        <w:tc>
          <w:tcPr>
            <w:tcW w:type="dxa" w:w="3800"/>
            <w:gridSpan w:val="1"/>
            <w:tcBorders>
              <w:top w:val="single" w:color="C8E6C9" w:sz="4"/>
              <w:left w:val="single" w:color="C8E6C9" w:sz="4"/>
              <w:bottom w:val="single" w:color="C8E6C9" w:sz="4"/>
              <w:right w:val="single" w:color="C8E6C9" w:sz="4"/>
            </w:tcBorders>
            <w:shd w:fill="E3F2FD"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Conduct a rules review session — walk through every GD rule with the student. Test comprehension with hypothetical scenarios before the next GD.</w:t>
            </w:r>
          </w:p>
        </w:tc>
      </w:tr>
      <w:tr>
        <w:tc>
          <w:tcPr>
            <w:tcW w:type="dxa" w:w="1800"/>
            <w:gridSpan w:val="1"/>
            <w:tcBorders>
              <w:top w:val="single" w:color="C8E6C9" w:sz="4"/>
              <w:left w:val="single" w:color="C8E6C9" w:sz="4"/>
              <w:bottom w:val="single" w:color="C8E6C9" w:sz="4"/>
              <w:right w:val="single" w:color="C8E6C9" w:sz="4"/>
            </w:tcBorders>
            <w:shd w:fill="F3E5F5"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4A148C"/>
                <w:sz w:val="20"/>
                <w:szCs w:val="20"/>
              </w:rPr>
              <w:t xml:space="preserve">Topic Dependency</w:t>
            </w:r>
          </w:p>
        </w:tc>
        <w:tc>
          <w:tcPr>
            <w:tcW w:type="dxa" w:w="1600"/>
            <w:gridSpan w:val="1"/>
            <w:tcBorders>
              <w:top w:val="single" w:color="C8E6C9" w:sz="4"/>
              <w:left w:val="single" w:color="C8E6C9" w:sz="4"/>
              <w:bottom w:val="single" w:color="C8E6C9" w:sz="4"/>
              <w:right w:val="single" w:color="C8E6C9" w:sz="4"/>
            </w:tcBorders>
            <w:shd w:fill="F3E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Score gap &gt; 20 points between best and worst topic categories</w:t>
            </w:r>
          </w:p>
        </w:tc>
        <w:tc>
          <w:tcPr>
            <w:tcW w:type="dxa" w:w="2160"/>
            <w:gridSpan w:val="1"/>
            <w:tcBorders>
              <w:top w:val="single" w:color="C8E6C9" w:sz="4"/>
              <w:left w:val="single" w:color="C8E6C9" w:sz="4"/>
              <w:bottom w:val="single" w:color="C8E6C9" w:sz="4"/>
              <w:right w:val="single" w:color="C8E6C9" w:sz="4"/>
            </w:tcBorders>
            <w:shd w:fill="F3E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Knowledge gap in specific domains — not a communication issue</w:t>
            </w:r>
          </w:p>
        </w:tc>
        <w:tc>
          <w:tcPr>
            <w:tcW w:type="dxa" w:w="3800"/>
            <w:gridSpan w:val="1"/>
            <w:tcBorders>
              <w:top w:val="single" w:color="C8E6C9" w:sz="4"/>
              <w:left w:val="single" w:color="C8E6C9" w:sz="4"/>
              <w:bottom w:val="single" w:color="C8E6C9" w:sz="4"/>
              <w:right w:val="single" w:color="C8E6C9" w:sz="4"/>
            </w:tcBorders>
            <w:shd w:fill="F3E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Assign Current Affairs custom Dojo mission: 1 news article per day for 2 weeks, 2 GD-ready points prepared per article. Focus on weakest topic category.</w:t>
            </w:r>
          </w:p>
        </w:tc>
      </w:tr>
      <w:tr>
        <w:tc>
          <w:tcPr>
            <w:tcW w:type="dxa" w:w="180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20"/>
                <w:szCs w:val="20"/>
              </w:rPr>
              <w:t xml:space="preserve">Plateau Pattern</w:t>
            </w:r>
          </w:p>
        </w:tc>
        <w:tc>
          <w:tcPr>
            <w:tcW w:type="dxa" w:w="160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Score change &lt; ±5 points across 4 consecutive sessions</w:t>
            </w:r>
          </w:p>
        </w:tc>
        <w:tc>
          <w:tcPr>
            <w:tcW w:type="dxa" w:w="21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Ceiling effect — existing approach has reached its limit</w:t>
            </w:r>
          </w:p>
        </w:tc>
        <w:tc>
          <w:tcPr>
            <w:tcW w:type="dxa" w:w="380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Change the coaching strategy entirely: introduce a new speaking technique (e.g., evidence-first speaking, Socratic questioning). The student needs a new tool, not more practice with the old one.</w:t>
            </w:r>
          </w:p>
        </w:tc>
      </w:tr>
    </w:tbl>
    <w:p>
      <w:pPr>
        <w:spacing w:before="400" w:after="0"/>
      </w:pPr>
    </w:p>
    <w:p>
      <w:pPr>
        <w:pBdr>
          <w:bottom w:val="single" w:color="1B5E20" w:sz="6" w:space="2"/>
        </w:pBdr>
        <w:spacing w:before="300" w:after="120"/>
      </w:pPr>
      <w:r>
        <w:rPr>
          <w:rFonts w:ascii="Arial" w:cs="Arial" w:eastAsia="Arial" w:hAnsi="Arial"/>
          <w:b/>
          <w:bCs/>
          <w:color w:val="1B5E20"/>
          <w:sz w:val="26"/>
          <w:szCs w:val="26"/>
        </w:rPr>
        <w:t xml:space="preserve">GD Readiness Certificate — Eligibility Conditions (Feature F.5)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rPr>
          <w:tblHeader/>
        </w:trPr>
        <w:tc>
          <w:tcPr>
            <w:tcW w:type="dxa" w:w="22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Condition</w:t>
            </w:r>
          </w:p>
        </w:tc>
        <w:tc>
          <w:tcPr>
            <w:tcW w:type="dxa" w:w="20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Threshold</w:t>
            </w:r>
          </w:p>
        </w:tc>
        <w:tc>
          <w:tcPr>
            <w:tcW w:type="dxa" w:w="2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Rationale</w:t>
            </w:r>
          </w:p>
        </w:tc>
        <w:tc>
          <w:tcPr>
            <w:tcW w:type="dxa" w:w="26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If Not Met</w:t>
            </w:r>
          </w:p>
        </w:tc>
      </w:tr>
      <w:tr>
        <w:tc>
          <w:tcPr>
            <w:tcW w:type="dxa" w:w="22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Minimum Sessions Completed</w:t>
            </w:r>
          </w:p>
        </w:tc>
        <w:tc>
          <w:tcPr>
            <w:tcW w:type="dxa" w:w="20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20"/>
                <w:szCs w:val="20"/>
              </w:rPr>
              <w:t xml:space="preserve">5 or more GD sessions</w:t>
            </w:r>
          </w:p>
        </w:tc>
        <w:tc>
          <w:tcPr>
            <w:tcW w:type="dxa" w:w="2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5 sessions provides sufficient behavioural data to identify consistent patterns vs one-off performance</w:t>
            </w:r>
          </w:p>
        </w:tc>
        <w:tc>
          <w:tcPr>
            <w:tcW w:type="dxa" w:w="2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Certificate button greyed out. Tooltip: 'Student needs X more sessions to be eligible.'</w:t>
            </w:r>
          </w:p>
        </w:tc>
      </w:tr>
      <w:tr>
        <w:tc>
          <w:tcPr>
            <w:tcW w:type="dxa" w:w="22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Minimum Performance Level</w:t>
            </w:r>
          </w:p>
        </w:tc>
        <w:tc>
          <w:tcPr>
            <w:tcW w:type="dxa" w:w="20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20"/>
                <w:szCs w:val="20"/>
              </w:rPr>
              <w:t xml:space="preserve">5-session average score above 60</w:t>
            </w:r>
          </w:p>
        </w:tc>
        <w:tc>
          <w:tcPr>
            <w:tcW w:type="dxa" w:w="256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Below 60 indicates the student is not yet performing at a level that would serve them in real recruitment</w:t>
            </w:r>
          </w:p>
        </w:tc>
        <w:tc>
          <w:tcPr>
            <w:tcW w:type="dxa" w:w="2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Certificate button greyed out. Tooltip: 'Student's current average is X — needs to be above 60.'</w:t>
            </w:r>
          </w:p>
        </w:tc>
      </w:tr>
      <w:tr>
        <w:tc>
          <w:tcPr>
            <w:tcW w:type="dxa" w:w="22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No Active Red Weakness Cards</w:t>
            </w:r>
          </w:p>
        </w:tc>
        <w:tc>
          <w:tcPr>
            <w:tcW w:type="dxa" w:w="20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20"/>
                <w:szCs w:val="20"/>
              </w:rPr>
              <w:t xml:space="preserve">All 6 weakness patterns are Green or Amber only</w:t>
            </w:r>
          </w:p>
        </w:tc>
        <w:tc>
          <w:tcPr>
            <w:tcW w:type="dxa" w:w="2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An active Red card means a persistent behavioural issue that would likely undermine real GD performance</w:t>
            </w:r>
          </w:p>
        </w:tc>
        <w:tc>
          <w:tcPr>
            <w:tcW w:type="dxa" w:w="2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Certificate button greyed out. Tooltip: 'Resolve [weakness name] before issuing certificate.'</w:t>
            </w:r>
          </w:p>
        </w:tc>
      </w:tr>
      <w:tr>
        <w:tc>
          <w:tcPr>
            <w:tcW w:type="dxa" w:w="22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Mentor Professional Judgment</w:t>
            </w:r>
          </w:p>
        </w:tc>
        <w:tc>
          <w:tcPr>
            <w:tcW w:type="dxa" w:w="20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20"/>
                <w:szCs w:val="20"/>
              </w:rPr>
              <w:t xml:space="preserve">Mentor's written assessment — minimum 30 words</w:t>
            </w:r>
          </w:p>
        </w:tc>
        <w:tc>
          <w:tcPr>
            <w:tcW w:type="dxa" w:w="256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The certificate is a professional endorsement — it must include the mentor's own assessment, not just system-generated data</w:t>
            </w:r>
          </w:p>
        </w:tc>
        <w:tc>
          <w:tcPr>
            <w:tcW w:type="dxa" w:w="2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Form validation prevents submission with fewer than 30 words in assessment field.</w:t>
            </w:r>
          </w:p>
        </w:tc>
      </w:tr>
    </w:tbl>
    <w:p>
      <w:pPr>
        <w:spacing w:before="400" w:after="0"/>
      </w:pPr>
    </w:p>
    <w:p>
      <w:pPr>
        <w:pBdr>
          <w:bottom w:val="single" w:color="1B5E20" w:sz="6" w:space="2"/>
        </w:pBdr>
        <w:spacing w:before="300" w:after="120"/>
      </w:pPr>
      <w:r>
        <w:rPr>
          <w:rFonts w:ascii="Arial" w:cs="Arial" w:eastAsia="Arial" w:hAnsi="Arial"/>
          <w:b/>
          <w:bCs/>
          <w:color w:val="1B5E20"/>
          <w:sz w:val="26"/>
          <w:szCs w:val="26"/>
        </w:rPr>
        <w:t xml:space="preserve">How the 6 Features Connect — Coaching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200"/>
        <w:gridCol w:w="6720"/>
      </w:tblGrid>
      <w:tr>
        <w:trPr>
          <w:tblHeader/>
        </w:trPr>
        <w:tc>
          <w:tcPr>
            <w:tcW w:type="dxa" w:w="44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0"/>
                <w:szCs w:val="20"/>
              </w:rPr>
              <w:t xml:space="preserve">Step</w:t>
            </w:r>
          </w:p>
        </w:tc>
        <w:tc>
          <w:tcPr>
            <w:tcW w:type="dxa" w:w="22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Feature</w:t>
            </w:r>
          </w:p>
        </w:tc>
        <w:tc>
          <w:tcPr>
            <w:tcW w:type="dxa" w:w="672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Data Flow — What the Mentor Sees and Does</w:t>
            </w:r>
          </w:p>
        </w:tc>
      </w:tr>
      <w:tr>
        <w:tc>
          <w:tcPr>
            <w:tcW w:type="dxa" w:w="44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2"/>
                <w:szCs w:val="22"/>
              </w:rPr>
              <w:t xml:space="preserve">1</w:t>
            </w:r>
          </w:p>
        </w:tc>
        <w:tc>
          <w:tcPr>
            <w:tcW w:type="dxa" w:w="22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18"/>
                <w:szCs w:val="18"/>
              </w:rPr>
              <w:t xml:space="preserve">F.1 — Dojo Progress View</w:t>
            </w:r>
          </w:p>
        </w:tc>
        <w:tc>
          <w:tcPr>
            <w:tcW w:type="dxa" w:w="672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observes student's daily practice activity — engagement score, streak, mission completion rate, challenge history. Identifies inactivity, avoidance, and effort gaps.</w:t>
            </w:r>
          </w:p>
        </w:tc>
      </w:tr>
      <w:tr>
        <w:tc>
          <w:tcPr>
            <w:tcW w:type="dxa" w:w="44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2"/>
                <w:szCs w:val="22"/>
              </w:rPr>
              <w:t xml:space="preserve">2</w:t>
            </w:r>
          </w:p>
        </w:tc>
        <w:tc>
          <w:tcPr>
            <w:tcW w:type="dxa" w:w="22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18"/>
                <w:szCs w:val="18"/>
              </w:rPr>
              <w:t xml:space="preserve">F.2 — Custom Mission Design</w:t>
            </w:r>
          </w:p>
        </w:tc>
        <w:tc>
          <w:tcPr>
            <w:tcW w:type="dxa" w:w="672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acts on Dojo observations — assigns targeted missions to fill specific gaps identified in F.1 (e.g., student skipped Communication challenge → assign Communication mission with evidence required).</w:t>
            </w:r>
          </w:p>
        </w:tc>
      </w:tr>
      <w:tr>
        <w:tc>
          <w:tcPr>
            <w:tcW w:type="dxa" w:w="44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2"/>
                <w:szCs w:val="22"/>
              </w:rPr>
              <w:t xml:space="preserve">3</w:t>
            </w:r>
          </w:p>
        </w:tc>
        <w:tc>
          <w:tcPr>
            <w:tcW w:type="dxa" w:w="22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18"/>
                <w:szCs w:val="18"/>
              </w:rPr>
              <w:t xml:space="preserve">F.3 — GD Score Analysis</w:t>
            </w:r>
          </w:p>
        </w:tc>
        <w:tc>
          <w:tcPr>
            <w:tcW w:type="dxa" w:w="672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reviews the student's complete GD score history — trend graph, sub-score breakdown, improvement velocity, peer comparison. Understands where the student is and how fast they are improving.</w:t>
            </w:r>
          </w:p>
        </w:tc>
      </w:tr>
      <w:tr>
        <w:tc>
          <w:tcPr>
            <w:tcW w:type="dxa" w:w="44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2"/>
                <w:szCs w:val="22"/>
              </w:rPr>
              <w:t xml:space="preserve">4</w:t>
            </w:r>
          </w:p>
        </w:tc>
        <w:tc>
          <w:tcPr>
            <w:tcW w:type="dxa" w:w="22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18"/>
                <w:szCs w:val="18"/>
              </w:rPr>
              <w:t xml:space="preserve">F.4 — GD Weakness ID</w:t>
            </w:r>
          </w:p>
        </w:tc>
        <w:tc>
          <w:tcPr>
            <w:tcW w:type="dxa" w:w="672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reviews the six pattern cards — each one flags a specific behavioural root cause. Red and Amber cards provide diagnostic context and a specific coaching tip for the next session.</w:t>
            </w:r>
          </w:p>
        </w:tc>
      </w:tr>
      <w:tr>
        <w:tc>
          <w:tcPr>
            <w:tcW w:type="dxa" w:w="44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2"/>
                <w:szCs w:val="22"/>
              </w:rPr>
              <w:t xml:space="preserve">5</w:t>
            </w:r>
          </w:p>
        </w:tc>
        <w:tc>
          <w:tcPr>
            <w:tcW w:type="dxa" w:w="22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18"/>
                <w:szCs w:val="18"/>
              </w:rPr>
              <w:t xml:space="preserve">F.5 — GD Readiness Certificate</w:t>
            </w:r>
          </w:p>
        </w:tc>
        <w:tc>
          <w:tcPr>
            <w:tcW w:type="dxa" w:w="672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When eligibility conditions are met (5+ sessions, avg above 60, no Red cards), mentor issues a formal certificate. Student gets a verifiable credential. Recruiter gets a trusted signal.</w:t>
            </w:r>
          </w:p>
        </w:tc>
      </w:tr>
      <w:tr>
        <w:tc>
          <w:tcPr>
            <w:tcW w:type="dxa" w:w="44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2"/>
                <w:szCs w:val="22"/>
              </w:rPr>
              <w:t xml:space="preserve">6</w:t>
            </w:r>
          </w:p>
        </w:tc>
        <w:tc>
          <w:tcPr>
            <w:tcW w:type="dxa" w:w="22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18"/>
                <w:szCs w:val="18"/>
              </w:rPr>
              <w:t xml:space="preserve">F.6 — Pre-GD Coaching Session</w:t>
            </w:r>
          </w:p>
        </w:tc>
        <w:tc>
          <w:tcPr>
            <w:tcW w:type="dxa" w:w="672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Before any high-stakes GD, mentor uses F.3 and F.4 data to run a 30-minute focused session — topic prep, weakness reminders, measurable behavioural targets, confidence reset. Student enters the GD prepared.</w:t>
            </w:r>
          </w:p>
        </w:tc>
      </w:tr>
    </w:tbl>
    <w:p>
      <w:pPr>
        <w:spacing w:before="400" w:after="0"/>
      </w:pP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F.1</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Student Dojo Progress View</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[Dojo]   [Activity Tracking]   [Engagement Data]   [Practice Habits]</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Give the mentor real-time, objective visibility into each student's daily practice habits — replacing self-reported effort estimates with verified platform activity data that enables precision coaching.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The mentor can view a complete Dojo activity summary for each of their assigned students. The Dojo is the student's daily practice hub — where they complete missions, earn XP, maintain streaks, and tackle skill challenges. The mentor sees: Current XP Level and rank tier, Active streak length (consecutive days with at least one Dojo activity), Weekly mission completion rate (missions completed vs assigned for the current week), Challenge attempt history (which challenges were attempted, completed, skipped, or failed — with dates), Dojo engagement trend over the past 30 days (a graph showing daily activity volume), and Dojo Engagement Score (0–100, platform-calculated from activity frequency, mission quality, and challenge difficulty attempted). This data is read-only for the mentor — they can view but not alter any Dojo record.</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navigates to My Students → selects a student → Dojo Tab. The tab loads in three panels: Summary Panel (XP level, streak, engagement score — the headline numbers), Activity Timeline (day-by-day log for the past 30 days — green dot for active day, grey dot for inactive day, with hover detail showing what was done), and Challenge Detail Panel (every challenge listed — name, category, difficulty, date attempted, outcome: Completed / Failed / Skipped). A filter bar allows the mentor to narrow by date range, challenge category (Coding, Maths, Communication, Sports, Creative), and outcome. If a student has been inactive for 7 or more consecutive days, the Dojo Tab shows a red inactivity alert automatically — the mentor does not need to search for this signal.</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Priya opens Rahul's Dojo Tab — 10 March 2026:
Summary Panel:
XP Level: 14 (out of 30 maximum). Rank: Rising Achiever.
Active Streak: 3 days (previous best streak: 18 days — broke 4 weeks ago).
Weekly Mission Completion: 4 of 7 missions completed this week.
Dojo Engagement Score: 61 / 100 (platform average for Rahul's peer group: 74).
Activity Timeline (past 30 days):
Week 1 (Feb 10–16): 6 of 7 days active — consistent.
Week 2 (Feb 17–23): 7 of 7 days active — peak engagement.
Week 3 (Feb 24–Mar 1): 2 of 7 days active — sharp drop. [RED ALERT shown]
Week 4 (Mar 2–8): 4 of 7 days active — partial recovery.
Challenge Detail (last 10 challenges):
Python Functions challenge: Completed — 22 Feb.
SQL Basics challenge: Completed — 23 Feb.
Data Structures challenge: Failed — 24 Feb (attempted twice).
Communication Round challenge: Skipped — 25 Feb.
[7 days inactive — 25 Feb to 3 March]
Tableau Basics: Completed — 04 March.
Priya's session insight: The sharp drop on 25 Feb — the day after Rahul failed the Data Structures challenge — is likely not a coincidence. Rahul probably got discouraged by the failure and disengaged. Priya plans to open the next session addressing the Data Structures failure directly — reframing it as a diagnostic, not a defeat.</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Students consistently overestimate their practice effort when reporting verbally to a mentor. 'I've been practising every day' is the most common unverifiable claim in any mentoring relationship. The Dojo Progress View gives the mentor objective, timestamped data — not a self-report. More importantly, it reveals behavioural patterns that the student themselves may not have consciously noticed: the correlation between a challenge failure and a 7-day inactivity streak is exactly the kind of insight that, once surfaced in a session, produces lasting behaviour change. Without this data, the mentor cannot distinguish between a student who is genuinely busy and one who is avoidant.</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Assigned Mentor (full Dojo tab with all activity data). Student (their own Dojo — they see the same data as the mentor but cannot see the mentor's view of their profile). Platform Admin (aggregate Dojo data for platform analytics — not individual mentor views).</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XP level, streak, weekly mission completion, and Engagement Score shown in Summary Panel</w:t>
      </w:r>
    </w:p>
    <w:p>
      <w:pPr>
        <w:spacing w:before="40" w:after="40" w:line="276"/>
        <w:jc w:val="left"/>
      </w:pPr>
      <w:r>
        <w:rPr>
          <w:rFonts w:ascii="Arial" w:cs="Arial" w:eastAsia="Arial" w:hAnsi="Arial"/>
          <w:b w:val="false"/>
          <w:bCs w:val="false"/>
          <w:i w:val="false"/>
          <w:iCs w:val="false"/>
          <w:color w:val="1A1A1A"/>
          <w:sz w:val="20"/>
          <w:szCs w:val="20"/>
        </w:rPr>
        <w:t xml:space="preserve">☑  30-day Activity Timeline: day-by-day green/grey dot view with hover detail</w:t>
      </w:r>
    </w:p>
    <w:p>
      <w:pPr>
        <w:spacing w:before="40" w:after="40" w:line="276"/>
        <w:jc w:val="left"/>
      </w:pPr>
      <w:r>
        <w:rPr>
          <w:rFonts w:ascii="Arial" w:cs="Arial" w:eastAsia="Arial" w:hAnsi="Arial"/>
          <w:b w:val="false"/>
          <w:bCs w:val="false"/>
          <w:i w:val="false"/>
          <w:iCs w:val="false"/>
          <w:color w:val="1A1A1A"/>
          <w:sz w:val="20"/>
          <w:szCs w:val="20"/>
        </w:rPr>
        <w:t xml:space="preserve">☑  Challenge Detail Panel: name, category, difficulty, date, outcome per challenge</w:t>
      </w:r>
    </w:p>
    <w:p>
      <w:pPr>
        <w:spacing w:before="40" w:after="40" w:line="276"/>
        <w:jc w:val="left"/>
      </w:pPr>
      <w:r>
        <w:rPr>
          <w:rFonts w:ascii="Arial" w:cs="Arial" w:eastAsia="Arial" w:hAnsi="Arial"/>
          <w:b w:val="false"/>
          <w:bCs w:val="false"/>
          <w:i w:val="false"/>
          <w:iCs w:val="false"/>
          <w:color w:val="1A1A1A"/>
          <w:sz w:val="20"/>
          <w:szCs w:val="20"/>
        </w:rPr>
        <w:t xml:space="preserve">☑  Filter by date range, challenge category, and outcome (Completed/Failed/Skipped)</w:t>
      </w:r>
    </w:p>
    <w:p>
      <w:pPr>
        <w:spacing w:before="40" w:after="40" w:line="276"/>
        <w:jc w:val="left"/>
      </w:pPr>
      <w:r>
        <w:rPr>
          <w:rFonts w:ascii="Arial" w:cs="Arial" w:eastAsia="Arial" w:hAnsi="Arial"/>
          <w:b w:val="false"/>
          <w:bCs w:val="false"/>
          <w:i w:val="false"/>
          <w:iCs w:val="false"/>
          <w:color w:val="1A1A1A"/>
          <w:sz w:val="20"/>
          <w:szCs w:val="20"/>
        </w:rPr>
        <w:t xml:space="preserve">☑  7+ consecutive inactive days triggers automatic red inactivity alert on the tab</w:t>
      </w:r>
    </w:p>
    <w:p>
      <w:pPr>
        <w:spacing w:before="40" w:after="40" w:line="276"/>
        <w:jc w:val="left"/>
      </w:pPr>
      <w:r>
        <w:rPr>
          <w:rFonts w:ascii="Arial" w:cs="Arial" w:eastAsia="Arial" w:hAnsi="Arial"/>
          <w:b w:val="false"/>
          <w:bCs w:val="false"/>
          <w:i w:val="false"/>
          <w:iCs w:val="false"/>
          <w:color w:val="1A1A1A"/>
          <w:sz w:val="20"/>
          <w:szCs w:val="20"/>
        </w:rPr>
        <w:t xml:space="preserve">☑  Dojo Engagement Score (0–100) shown with peer group average for benchmarking</w:t>
      </w:r>
    </w:p>
    <w:p>
      <w:pPr>
        <w:spacing w:before="40" w:after="40" w:line="276"/>
        <w:jc w:val="left"/>
      </w:pPr>
      <w:r>
        <w:rPr>
          <w:rFonts w:ascii="Arial" w:cs="Arial" w:eastAsia="Arial" w:hAnsi="Arial"/>
          <w:b w:val="false"/>
          <w:bCs w:val="false"/>
          <w:i w:val="false"/>
          <w:iCs w:val="false"/>
          <w:color w:val="1A1A1A"/>
          <w:sz w:val="20"/>
          <w:szCs w:val="20"/>
        </w:rPr>
        <w:t xml:space="preserve">☑  All data read-only for mentor — no ability to alter student Dojo records</w:t>
      </w:r>
    </w:p>
    <w:p>
      <w:pPr>
        <w:spacing w:before="40" w:after="40" w:line="276"/>
        <w:jc w:val="left"/>
      </w:pPr>
      <w:r>
        <w:rPr>
          <w:rFonts w:ascii="Arial" w:cs="Arial" w:eastAsia="Arial" w:hAnsi="Arial"/>
          <w:b w:val="false"/>
          <w:bCs w:val="false"/>
          <w:i w:val="false"/>
          <w:iCs w:val="false"/>
          <w:color w:val="1A1A1A"/>
          <w:sz w:val="20"/>
          <w:szCs w:val="20"/>
        </w:rPr>
        <w:t xml:space="preserve">☑  Data refreshes in real time — shows activity up to the current moment</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F.2</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Custom Mission Design</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[Custom Mission]   [Targeted Practice]   [Dojo]   [Accountability]</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Allow mentors to assign targeted, student-specific practice tasks directly within the Dojo — bridging the gap between generic platform content and the precise skill gaps identified during mentoring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Beyond the standard missions the Dojo assigns to all students, the mentor can create Custom Missions for a specific student. A Custom Mission is a defined task — with a title, description, category tag, difficulty level, expected completion time, due date, and optional evidence requirement (whether the student must upload a file, screenshot, or written response as proof of completion). Custom Missions appear in the student's Dojo alongside their regular missions — visually distinguished by a 'Mentor Assigned' tag. They carry XP on completion and count toward the student's weekly mission completion rate. The mentor can view whether each custom mission has been completed, and the completion (or non-completion) feeds into the Session Action Item tracking system, creating continuity between Dojo practice and formal session accountability.</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navigates to a student's Dojo Tab → clicks 'Create Custom Mission' → a mission builder form opens: Mission Title (e.g., 'SQL Joins Practice'), Description (e.g., 'Complete exercises 1–10 in the SQL Joins challenge module and screenshot your final score'), Category (dropdown — Coding, Maths, Communication, Creative, Research, Sports), Difficulty (Beginner / Intermediate / Advanced), Estimated Time (15 min / 30 min / 60 min / 2 hours), Due Date (calendar picker), Evidence Required (Yes/No — if Yes, student must upload a file to mark complete), XP Award (pre-set by difficulty: Beginner 50 XP, Intermediate 100 XP, Advanced 200 XP). Mentor clicks Publish. Mission appears in student's Dojo within 60 seconds. Student receives a push notification: 'Your mentor Priya has assigned you a new Dojo mission: SQL Joins Practice — due 14 March.'</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After Priya's session with Rahul on 10 March 2026, she identifies two gaps: SQL knowledge (stalled on the LMS) and communication avoidance (skipped the Communication Round challenge). She creates two custom missions:
Custom Mission 1:
Title: SQL Joins Deep Dive
Description: Complete all 15 exercises in the LMS SQL Joins module. Screenshot your completion certificate and upload it here.
Category: Coding | Difficulty: Intermediate | Due: 14 March
Evidence Required: Yes (certificate screenshot)
XP: 100
Custom Mission 2:
Title: One Communication Round — No Skipping
Description: Attempt the Communication Round challenge in Dojo. You do not need to score high — you only need to attempt it and not skip. Write 3 lines about what was difficult and submit as text.
Category: Communication | Difficulty: Beginner | Due: 12 March
Evidence Required: Yes (written reflection)
XP: 50
Rahul's Dojo now shows both missions with a 'Mentor Assigned' tag. He completes Mission 2 on 11 March (uploads 3-line reflection). Mission 1 completed 13 March (certificate uploaded). Both completions feed into Priya's student progress view — no manual check required.</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Generic Dojo missions cover skill fundamentals for all students. They cannot address the specific gap that Priya identified in Rahul's profile on 10 March at 7 PM. Custom missions close this gap — they are the mechanism by which a mentor's session insight becomes a practice action. The evidence requirement ensures the student cannot mark a mission complete without actually completing it — a critical accountability feature. The XP reward ensures custom missions are intrinsically motivated (students want XP) rather than purely externally mandated — which improves completion rates significantly.</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Student (custom missions appear in their Dojo — labelled 'Mentor Assigned'). Mentor (full mission list — creation status, completion status, evidence uploaded). Platform Admin (custom mission data for analytics — not individual mentor views by default).</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Custom mission builder: title, description, category, difficulty, time, due date, evidence requirement</w:t>
      </w:r>
    </w:p>
    <w:p>
      <w:pPr>
        <w:spacing w:before="40" w:after="40" w:line="276"/>
        <w:jc w:val="left"/>
      </w:pPr>
      <w:r>
        <w:rPr>
          <w:rFonts w:ascii="Arial" w:cs="Arial" w:eastAsia="Arial" w:hAnsi="Arial"/>
          <w:b w:val="false"/>
          <w:bCs w:val="false"/>
          <w:i w:val="false"/>
          <w:iCs w:val="false"/>
          <w:color w:val="1A1A1A"/>
          <w:sz w:val="20"/>
          <w:szCs w:val="20"/>
        </w:rPr>
        <w:t xml:space="preserve">☑  Mission appears in student Dojo within 60 seconds of publication</w:t>
      </w:r>
    </w:p>
    <w:p>
      <w:pPr>
        <w:spacing w:before="40" w:after="40" w:line="276"/>
        <w:jc w:val="left"/>
      </w:pPr>
      <w:r>
        <w:rPr>
          <w:rFonts w:ascii="Arial" w:cs="Arial" w:eastAsia="Arial" w:hAnsi="Arial"/>
          <w:b w:val="false"/>
          <w:bCs w:val="false"/>
          <w:i w:val="false"/>
          <w:iCs w:val="false"/>
          <w:color w:val="1A1A1A"/>
          <w:sz w:val="20"/>
          <w:szCs w:val="20"/>
        </w:rPr>
        <w:t xml:space="preserve">☑  Student receives push notification on custom mission assignment</w:t>
      </w:r>
    </w:p>
    <w:p>
      <w:pPr>
        <w:spacing w:before="40" w:after="40" w:line="276"/>
        <w:jc w:val="left"/>
      </w:pPr>
      <w:r>
        <w:rPr>
          <w:rFonts w:ascii="Arial" w:cs="Arial" w:eastAsia="Arial" w:hAnsi="Arial"/>
          <w:b w:val="false"/>
          <w:bCs w:val="false"/>
          <w:i w:val="false"/>
          <w:iCs w:val="false"/>
          <w:color w:val="1A1A1A"/>
          <w:sz w:val="20"/>
          <w:szCs w:val="20"/>
        </w:rPr>
        <w:t xml:space="preserve">☑  Missions labelled 'Mentor Assigned' — visually distinct from standard Dojo missions</w:t>
      </w:r>
    </w:p>
    <w:p>
      <w:pPr>
        <w:spacing w:before="40" w:after="40" w:line="276"/>
        <w:jc w:val="left"/>
      </w:pPr>
      <w:r>
        <w:rPr>
          <w:rFonts w:ascii="Arial" w:cs="Arial" w:eastAsia="Arial" w:hAnsi="Arial"/>
          <w:b w:val="false"/>
          <w:bCs w:val="false"/>
          <w:i w:val="false"/>
          <w:iCs w:val="false"/>
          <w:color w:val="1A1A1A"/>
          <w:sz w:val="20"/>
          <w:szCs w:val="20"/>
        </w:rPr>
        <w:t xml:space="preserve">☑  XP awarded on completion: 50 (Beginner), 100 (Intermediate), 200 (Advanced)</w:t>
      </w:r>
    </w:p>
    <w:p>
      <w:pPr>
        <w:spacing w:before="40" w:after="40" w:line="276"/>
        <w:jc w:val="left"/>
      </w:pPr>
      <w:r>
        <w:rPr>
          <w:rFonts w:ascii="Arial" w:cs="Arial" w:eastAsia="Arial" w:hAnsi="Arial"/>
          <w:b w:val="false"/>
          <w:bCs w:val="false"/>
          <w:i w:val="false"/>
          <w:iCs w:val="false"/>
          <w:color w:val="1A1A1A"/>
          <w:sz w:val="20"/>
          <w:szCs w:val="20"/>
        </w:rPr>
        <w:t xml:space="preserve">☑  Evidence Required flag: student must upload file or text to mark complete</w:t>
      </w:r>
    </w:p>
    <w:p>
      <w:pPr>
        <w:spacing w:before="40" w:after="40" w:line="276"/>
        <w:jc w:val="left"/>
      </w:pPr>
      <w:r>
        <w:rPr>
          <w:rFonts w:ascii="Arial" w:cs="Arial" w:eastAsia="Arial" w:hAnsi="Arial"/>
          <w:b w:val="false"/>
          <w:bCs w:val="false"/>
          <w:i w:val="false"/>
          <w:iCs w:val="false"/>
          <w:color w:val="1A1A1A"/>
          <w:sz w:val="20"/>
          <w:szCs w:val="20"/>
        </w:rPr>
        <w:t xml:space="preserve">☑  Completion status visible in mentor's student view — no manual checking needed</w:t>
      </w:r>
    </w:p>
    <w:p>
      <w:pPr>
        <w:spacing w:before="40" w:after="40" w:line="276"/>
        <w:jc w:val="left"/>
      </w:pPr>
      <w:r>
        <w:rPr>
          <w:rFonts w:ascii="Arial" w:cs="Arial" w:eastAsia="Arial" w:hAnsi="Arial"/>
          <w:b w:val="false"/>
          <w:bCs w:val="false"/>
          <w:i w:val="false"/>
          <w:iCs w:val="false"/>
          <w:color w:val="1A1A1A"/>
          <w:sz w:val="20"/>
          <w:szCs w:val="20"/>
        </w:rPr>
        <w:t xml:space="preserve">☑  Completion feeds into Session Action Item tracking — continuity between Dojo and sessions</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F.3</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GD Score Analysis</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[GD Score]   [Trend Analysis]   [Communication Data]   [Performance History]</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Give the mentor a complete, trend-based view of a student's Group Discussion performance history — transforming isolated session scores into a longitudinal coaching narrative that reveals growth, plateaus, and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Every GD session a student completes on the EcoSkiller platform generates a score (0–100) based on rule-based behavioural metrics: speaking time used, turns completed, interrupt attempts, silence during token, and compliance with session rules. The mentor can view the complete GD score history for each assigned student — every session, with its date, score, topic, and behavioural sub-scores. The data is presented as both a table (session-by-session) and a trend graph (score over time). The mentor can see: the student's all-time high score, their most recent score, their average score across all sessions, their improvement velocity (rate of score change over the past 5 sessions), and how their score compares to the platform average for their education level (school / college / working professional).</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navigates to a student's profile → GD Tab. The tab loads with a trend graph at the top — each data point is a GD session (x-axis: date, y-axis: score 0–100). The graph colour-codes the trend line: green if the last 5 sessions show improvement, amber if flat (within ±5 points), red if declining. Below the graph, a detailed session table shows every GD session: date, topic, overall score, and four sub-score columns (Speaking Time Used %, Turns Completed %, Interrupt Attempts count, Compliance Score). The mentor can click any session row to expand a full breakdown. A Summary Statistics panel shows: Sessions Completed, All-Time High, Current Average (last 5 sessions), and Peer Comparison (student's average vs platform average for their level). Filter options allow the mentor to view only school-level GDs, only college-level, or all combined.</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GD Score Analysis — Rahul | Mentor: Priya | As of 10 March 2026:
Trend Graph: Green — improving trend over last 5 sessions.
Session History (most recent first):
Date         Topic                        Score   Speak%  Turns%  Interrupts  Compliance
08 Mar 2026  Startup Ecosystem in India   71      82%     100%    1           88
22 Feb 2026  Electric Vehicles Future      67      76%     83%     2           84
05 Feb 2026  Work from Home Pros/Cons     64      71%     83%     1           90
18 Jan 2026  AI in Education              58      65%     67%     3           80
04 Jan 2026  Climate Change Solutions     52      60%     67%     4           76
15 Dec 2025  Social Media and Youth       48      55%     50%     5           72
Summary Statistics:
Sessions Completed: 6
All-Time High: 71 (08 March 2026)
Current Average (last 5 sessions): 62.4
Platform Average for College Level: 58.1
Improvement Velocity: +4.6 points per session (last 5 sessions)
Priya's coaching insight: Rahul is improving consistently — above platform average. His biggest remaining gap is Interrupt Attempts (was 5 in December, now 1 — major improvement) but his Speaking Time % is still below 85%, which is the threshold for the 'spoke full time' bonus score. Target for next session: Speaking Time consistently above 80%.</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 single GD score is almost meaningless without context. A score of 67 could be excellent progress for a student who started at 40, or a worrying regression for a student who was at 75. The trend view provides the context that makes the score meaningful. The sub-score breakdown reveals exactly which behaviours are improving and which are stagnating — something the overall score alone cannot show. A student whose overall score is improving but whose Speaking Time % is declining is developing a different problem than a student whose score is stagnating because of high interrupt attempts. The analysis makes this distinction instantly visible.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Assigned Mentor (full GD history, sub-scores, trend analysis, peer comparison). Student (their own GD history with scores and trends — same data view). Recruiter (overall GD readiness signal on student profile — not the session-by-session detail). Platform Admin (aggregate GD data for platform analytics).</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Trend graph: score over time with colour coding — green (improving), amber (flat), red (declining)</w:t>
      </w:r>
    </w:p>
    <w:p>
      <w:pPr>
        <w:spacing w:before="40" w:after="40" w:line="276"/>
        <w:jc w:val="left"/>
      </w:pPr>
      <w:r>
        <w:rPr>
          <w:rFonts w:ascii="Arial" w:cs="Arial" w:eastAsia="Arial" w:hAnsi="Arial"/>
          <w:b w:val="false"/>
          <w:bCs w:val="false"/>
          <w:i w:val="false"/>
          <w:iCs w:val="false"/>
          <w:color w:val="1A1A1A"/>
          <w:sz w:val="20"/>
          <w:szCs w:val="20"/>
        </w:rPr>
        <w:t xml:space="preserve">☑  Session table: date, topic, overall score, four sub-score columns per session</w:t>
      </w:r>
    </w:p>
    <w:p>
      <w:pPr>
        <w:spacing w:before="40" w:after="40" w:line="276"/>
        <w:jc w:val="left"/>
      </w:pPr>
      <w:r>
        <w:rPr>
          <w:rFonts w:ascii="Arial" w:cs="Arial" w:eastAsia="Arial" w:hAnsi="Arial"/>
          <w:b w:val="false"/>
          <w:bCs w:val="false"/>
          <w:i w:val="false"/>
          <w:iCs w:val="false"/>
          <w:color w:val="1A1A1A"/>
          <w:sz w:val="20"/>
          <w:szCs w:val="20"/>
        </w:rPr>
        <w:t xml:space="preserve">☑  Click-to-expand: full breakdown available for any individual session</w:t>
      </w:r>
    </w:p>
    <w:p>
      <w:pPr>
        <w:spacing w:before="40" w:after="40" w:line="276"/>
        <w:jc w:val="left"/>
      </w:pPr>
      <w:r>
        <w:rPr>
          <w:rFonts w:ascii="Arial" w:cs="Arial" w:eastAsia="Arial" w:hAnsi="Arial"/>
          <w:b w:val="false"/>
          <w:bCs w:val="false"/>
          <w:i w:val="false"/>
          <w:iCs w:val="false"/>
          <w:color w:val="1A1A1A"/>
          <w:sz w:val="20"/>
          <w:szCs w:val="20"/>
        </w:rPr>
        <w:t xml:space="preserve">☑  Summary Statistics: sessions count, all-time high, 5-session average, improvement velocity</w:t>
      </w:r>
    </w:p>
    <w:p>
      <w:pPr>
        <w:spacing w:before="40" w:after="40" w:line="276"/>
        <w:jc w:val="left"/>
      </w:pPr>
      <w:r>
        <w:rPr>
          <w:rFonts w:ascii="Arial" w:cs="Arial" w:eastAsia="Arial" w:hAnsi="Arial"/>
          <w:b w:val="false"/>
          <w:bCs w:val="false"/>
          <w:i w:val="false"/>
          <w:iCs w:val="false"/>
          <w:color w:val="1A1A1A"/>
          <w:sz w:val="20"/>
          <w:szCs w:val="20"/>
        </w:rPr>
        <w:t xml:space="preserve">☑  Peer Comparison: student average vs platform average for their education level</w:t>
      </w:r>
    </w:p>
    <w:p>
      <w:pPr>
        <w:spacing w:before="40" w:after="40" w:line="276"/>
        <w:jc w:val="left"/>
      </w:pPr>
      <w:r>
        <w:rPr>
          <w:rFonts w:ascii="Arial" w:cs="Arial" w:eastAsia="Arial" w:hAnsi="Arial"/>
          <w:b w:val="false"/>
          <w:bCs w:val="false"/>
          <w:i w:val="false"/>
          <w:iCs w:val="false"/>
          <w:color w:val="1A1A1A"/>
          <w:sz w:val="20"/>
          <w:szCs w:val="20"/>
        </w:rPr>
        <w:t xml:space="preserve">☑  Filter by education level: school / college / professional / all</w:t>
      </w:r>
    </w:p>
    <w:p>
      <w:pPr>
        <w:spacing w:before="40" w:after="40" w:line="276"/>
        <w:jc w:val="left"/>
      </w:pPr>
      <w:r>
        <w:rPr>
          <w:rFonts w:ascii="Arial" w:cs="Arial" w:eastAsia="Arial" w:hAnsi="Arial"/>
          <w:b w:val="false"/>
          <w:bCs w:val="false"/>
          <w:i w:val="false"/>
          <w:iCs w:val="false"/>
          <w:color w:val="1A1A1A"/>
          <w:sz w:val="20"/>
          <w:szCs w:val="20"/>
        </w:rPr>
        <w:t xml:space="preserve">☑  Improvement velocity calculated from last 5 sessions — not all-time average</w:t>
      </w:r>
    </w:p>
    <w:p>
      <w:pPr>
        <w:spacing w:before="40" w:after="40" w:line="276"/>
        <w:jc w:val="left"/>
      </w:pPr>
      <w:r>
        <w:rPr>
          <w:rFonts w:ascii="Arial" w:cs="Arial" w:eastAsia="Arial" w:hAnsi="Arial"/>
          <w:b w:val="false"/>
          <w:bCs w:val="false"/>
          <w:i w:val="false"/>
          <w:iCs w:val="false"/>
          <w:color w:val="1A1A1A"/>
          <w:sz w:val="20"/>
          <w:szCs w:val="20"/>
        </w:rPr>
        <w:t xml:space="preserve">☑  Data refreshes automatically after each new GD session is completed</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F.4</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GD Weakness Identification</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[Weakness Patterns]   [Behavioural Diagnosis]   [Targeted Coaching]   [GD Analytics]</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Enable the mentor to diagnose the precise behavioural root cause of a student's GD performance gap — so coaching interventions target the actual problem rather than providing generic communication advice.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Beyond the raw scores, the GD Weakness Identification system analyses a student's GD behavioural data and flags specific weakness patterns — each with a diagnostic label, a description of what the pattern indicates, and a suggested coaching intervention. The system identifies six core weakness patterns: (1) Speaking Time Deficit — student consistently uses less than 70% of their allocated speaking time, indicating confidence or preparation gaps. (2) Turn Skipping — student skips more than 20% of their allocated turns, indicating avoidance behaviour. (3) Interrupt Tendency — student attempts to interrupt other speakers more than twice per session average, indicating aggressive or anxious communication style. (4) Compliance Variance — student's compliance score varies widely across sessions (standard deviation above 15), indicating inconsistent rule comprehension or selective engagement. (5) Topic Dependency — student's score varies significantly by topic category (more than 20 points between best and worst topic categories), indicating knowledge gaps in certain domains. (6) Plateau Pattern — student's score has not changed by more than 5 points in the last 4 consecutive sessions, indicating a ceiling effect requiring a new coaching approach.</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The Weakness Identification panel is a sub-section of the GD Tab — below the trend graph and session table. The platform automatically computes all six patterns from the student's complete GD history. Each pattern is shown as a card: Green card (no weakness — threshold met), Amber card (mild weakness — approaching the threshold), or Red card (active weakness — threshold crossed). Each red or amber card shows the pattern name, the student's current metric vs the threshold, a plain-language description ('Rahul skips 25% of his turns on average — this suggests he is avoiding difficult topics or lacks confidence to contribute when unprepared'), and a Coaching Tip ('In the Pre-GD session, ask Rahul to prepare 3 points on the topic before entering the GD room. Having prepared content reduces turn skipping significantly'). The mentor can dismiss a card if they believe the pattern is not relevant for a specific student — the dismissal is logged with a reason.</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GD Weakness Identification — Rahul | 10 March 2026:
Speaking Time Deficit:
Status: AMBER
Rahul's average speaking time used: 71.7% (threshold: 70% — barely above)
Description: Rahul is using just over the minimum speaking time. At this level, any nervousness or difficult topic will push him below threshold.
Coaching Tip: In the next session, do a 5-minute 'speaking under pressure' exercise — give Rahul a random topic and ask him to speak for a full 60 seconds without stopping. Repeat 3 times.
Turn Skipping:
Status: GREEN — No weakness. Turn completion 83% average (threshold: above 80%).
Interrupt Tendency:
Status: GREEN — Improved from 4.3 average (December) to 1.3 average (March). No longer flagged.
Compliance Variance:
Status: GREEN — Compliance scores 72–90 range. Standard deviation: 6.2 (threshold: below 15).
Topic Dependency:
Status: RED
Rahul's score by topic category:
Tech/Business topics: average 68.2
Social/Policy topics: average 51.4 — difference: 16.8 points (threshold: above 20 — approaching)
Description: Rahul performs significantly better on topics related to his domain knowledge. Social and policy topics expose a knowledge preparation gap.
Coaching Tip: Assign a Current Affairs Dojo Custom Mission — ask Rahul to read one news article per day for 2 weeks and prepare 2 GD-ready points on each.
Plateau Pattern:
Status: GREEN — Improvement velocity: +4.6 points/session. No plateau.</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Generic communication advice — 'speak more confidently,' 'don't interrupt people,' 'be better prepared' — is the least effective form of coaching. It is vague, non-actionable, and the student has almost certainly heard it before. The Weakness Identification system makes generic advice impossible: it gives the mentor a specific metric (71.7% speaking time), a specific threshold (70%), a specific risk ('any nervousness will push below threshold'), and a specific exercise ('5-minute speaking under pressure drill'). This is the difference between a coach saying 'run faster' and a coach saying 'your 200m split time is 28.4 seconds — we need it below 27.0 — here is the interval training programme.' The specificity transforms coaching from art into engineering.</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Assigned Mentor (full weakness cards with diagnostics and coaching tips). Student (simplified version — their own weakness areas shown without the diagnostic labels, to avoid self-labelling harm). Platform Admin (aggregate weakness pattern data for platform GD system improvement).</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Six weakness patterns computed automatically: Speaking Time Deficit, Turn Skipping, Interrupt Tendency, Compliance Variance, Topic Dependency, Plateau Pattern</w:t>
      </w:r>
    </w:p>
    <w:p>
      <w:pPr>
        <w:spacing w:before="40" w:after="40" w:line="276"/>
        <w:jc w:val="left"/>
      </w:pPr>
      <w:r>
        <w:rPr>
          <w:rFonts w:ascii="Arial" w:cs="Arial" w:eastAsia="Arial" w:hAnsi="Arial"/>
          <w:b w:val="false"/>
          <w:bCs w:val="false"/>
          <w:i w:val="false"/>
          <w:iCs w:val="false"/>
          <w:color w:val="1A1A1A"/>
          <w:sz w:val="20"/>
          <w:szCs w:val="20"/>
        </w:rPr>
        <w:t xml:space="preserve">☑  Each pattern shown as a card: Green (no weakness), Amber (mild), Red (active weakness)</w:t>
      </w:r>
    </w:p>
    <w:p>
      <w:pPr>
        <w:spacing w:before="40" w:after="40" w:line="276"/>
        <w:jc w:val="left"/>
      </w:pPr>
      <w:r>
        <w:rPr>
          <w:rFonts w:ascii="Arial" w:cs="Arial" w:eastAsia="Arial" w:hAnsi="Arial"/>
          <w:b w:val="false"/>
          <w:bCs w:val="false"/>
          <w:i w:val="false"/>
          <w:iCs w:val="false"/>
          <w:color w:val="1A1A1A"/>
          <w:sz w:val="20"/>
          <w:szCs w:val="20"/>
        </w:rPr>
        <w:t xml:space="preserve">☑  Red/Amber cards show: metric value, threshold, plain-language description, specific Coaching Tip</w:t>
      </w:r>
    </w:p>
    <w:p>
      <w:pPr>
        <w:spacing w:before="40" w:after="40" w:line="276"/>
        <w:jc w:val="left"/>
      </w:pPr>
      <w:r>
        <w:rPr>
          <w:rFonts w:ascii="Arial" w:cs="Arial" w:eastAsia="Arial" w:hAnsi="Arial"/>
          <w:b w:val="false"/>
          <w:bCs w:val="false"/>
          <w:i w:val="false"/>
          <w:iCs w:val="false"/>
          <w:color w:val="1A1A1A"/>
          <w:sz w:val="20"/>
          <w:szCs w:val="20"/>
        </w:rPr>
        <w:t xml:space="preserve">☑  Cards computed from complete GD history — not just last session</w:t>
      </w:r>
    </w:p>
    <w:p>
      <w:pPr>
        <w:spacing w:before="40" w:after="40" w:line="276"/>
        <w:jc w:val="left"/>
      </w:pPr>
      <w:r>
        <w:rPr>
          <w:rFonts w:ascii="Arial" w:cs="Arial" w:eastAsia="Arial" w:hAnsi="Arial"/>
          <w:b w:val="false"/>
          <w:bCs w:val="false"/>
          <w:i w:val="false"/>
          <w:iCs w:val="false"/>
          <w:color w:val="1A1A1A"/>
          <w:sz w:val="20"/>
          <w:szCs w:val="20"/>
        </w:rPr>
        <w:t xml:space="preserve">☑  Mentor can dismiss a card with a logged reason — does not delete the underlying data</w:t>
      </w:r>
    </w:p>
    <w:p>
      <w:pPr>
        <w:spacing w:before="40" w:after="40" w:line="276"/>
        <w:jc w:val="left"/>
      </w:pPr>
      <w:r>
        <w:rPr>
          <w:rFonts w:ascii="Arial" w:cs="Arial" w:eastAsia="Arial" w:hAnsi="Arial"/>
          <w:b w:val="false"/>
          <w:bCs w:val="false"/>
          <w:i w:val="false"/>
          <w:iCs w:val="false"/>
          <w:color w:val="1A1A1A"/>
          <w:sz w:val="20"/>
          <w:szCs w:val="20"/>
        </w:rPr>
        <w:t xml:space="preserve">☑  Topic Dependency analysis requires minimum 6 GD sessions across different topic categories</w:t>
      </w:r>
    </w:p>
    <w:p>
      <w:pPr>
        <w:spacing w:before="40" w:after="40" w:line="276"/>
        <w:jc w:val="left"/>
      </w:pPr>
      <w:r>
        <w:rPr>
          <w:rFonts w:ascii="Arial" w:cs="Arial" w:eastAsia="Arial" w:hAnsi="Arial"/>
          <w:b w:val="false"/>
          <w:bCs w:val="false"/>
          <w:i w:val="false"/>
          <w:iCs w:val="false"/>
          <w:color w:val="1A1A1A"/>
          <w:sz w:val="20"/>
          <w:szCs w:val="20"/>
        </w:rPr>
        <w:t xml:space="preserve">☑  Plateau Pattern triggers after 4 consecutive sessions within ±5 points</w:t>
      </w:r>
    </w:p>
    <w:p>
      <w:pPr>
        <w:spacing w:before="40" w:after="40" w:line="276"/>
        <w:jc w:val="left"/>
      </w:pPr>
      <w:r>
        <w:rPr>
          <w:rFonts w:ascii="Arial" w:cs="Arial" w:eastAsia="Arial" w:hAnsi="Arial"/>
          <w:b w:val="false"/>
          <w:bCs w:val="false"/>
          <w:i w:val="false"/>
          <w:iCs w:val="false"/>
          <w:color w:val="1A1A1A"/>
          <w:sz w:val="20"/>
          <w:szCs w:val="20"/>
        </w:rPr>
        <w:t xml:space="preserve">☑  Student sees simplified weakness view — no diagnostic labels to prevent self-labelling harm</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F.5</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GD Readiness Certification</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[GD Certificate]   [Readiness Assessment]   [Recruiter Signal]   [Professional Endorsement]</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Provide a formal, mentor-issued credential that signals to recruiters that a specific student has been professionally assessed and is ready to perform in a real GD recruitment round — transforming a score into a trusted human endorsement.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When the mentor determines that a student has reached a sufficient GD performance level for real recruitment rounds, they can issue a GD Readiness Certificate on the platform. This is not automatic — it is a deliberate professional judgment call by the mentor, based on their review of the student's GD data, weakness identification status, and direct observation in Pre-GD coaching sessions. The certificate contains: the student's name, the mentor's name and verified status, the issue date, the GD performance basis (current score, sessions completed, platform average comparison), the mentor's assessment statement (a written judgment — minimum 30 words), and a certificate ID that recruiters can verify on the platform. The certificate is displayed on the student's public profile in the Communication Skills section — alongside GD scores but visually elevated as a mentor-certified credential.</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navigates to student profile → GD Tab → clicks 'Issue GD Readiness Certificate.' The system first checks three eligibility conditions: student has completed minimum 5 GD sessions, student's current 5-session average is above 60, and no active Red weakness cards (all weakness patterns are Green or Amber). If any condition is not met, the button is greyed out with a tooltip explaining what is needed. If all conditions are met, a certificate form opens: Assessment Statement field (mentor writes their professional judgment — minimum 30 words), Recommended Roles field (mentor lists 2–3 job profiles for which the student is GD-ready), and a confirmation checkbox ('I certify that I have directly observed this student's communication development and believe they are ready for GD rounds in real recruitment'). On submission, the certificate is generated and published to the student's profile within 60 seconds. Both the mentor and the student receive a confirmation notification.</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GD Readiness Certificate — Issued 10 March 2026:
Student: Rahul Sharma
Mentor: Priya Sharma | Senior Data Engineer, Infosys | Verified Mentor
Certificate ID: GDR-2026-00847
GD Performance Basis:
Sessions Completed: 6
Current 5-Session Average: 62.4
All-Time High: 71
Platform Average (College Level): 58.1 — Student is above platform average.
All Weakness Cards: Green or Amber — no active Red flags.
Mentor Assessment Statement:
'Rahul has demonstrated consistent improvement in structured GD environments over 6 sessions, progressing from a score of 48 to a high of 71. His interrupt tendency — previously his most significant weakness — has reduced from 4.3 to 1.3 attempts per session. He now uses his full speaking time on familiar topics and contributes substantively across structured turns. I assess Rahul as ready for GD rounds in junior analyst and technology associate recruitment processes.'
Recommended Roles: Junior Data Analyst, Technology Associate, Business Analyst Trainee
Verification: Recruiters can verify this certificate at ecoskiller.in/verify/GDR-2026-00847</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 GD score of 62 means nothing to a recruiter unless they understand the context — what the scale measures, what the platform average is, and whether 62 represents a student who is improving or declining. The GD Readiness Certificate solves all three problems simultaneously: it provides context (above platform average), trajectory (consistent improvement from 48 to 71), and a named professional's endorsement. Recruiters who receive 200 applications cannot review the GD score history for every candidate — but a certificate issued by a verified industry professional with a specific assessment statement is a signal they can act on in 30 seconds. It also gives students a tangible milestone to work toward — 'getting my GD certificate' is a more motivating goal than 'improving my score.'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Recruiters (displayed on student's public profile — Communication Skills section). Students (on their own profile — can share as a direct link). Mentor (in their issuance history — all certificates ever issued). Anyone with the certificate verification URL.</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Three eligibility conditions checked before certificate issuance is enabled: 5+ sessions, 5-session average above 60, no Red weakness cards</w:t>
      </w:r>
    </w:p>
    <w:p>
      <w:pPr>
        <w:spacing w:before="40" w:after="40" w:line="276"/>
        <w:jc w:val="left"/>
      </w:pPr>
      <w:r>
        <w:rPr>
          <w:rFonts w:ascii="Arial" w:cs="Arial" w:eastAsia="Arial" w:hAnsi="Arial"/>
          <w:b w:val="false"/>
          <w:bCs w:val="false"/>
          <w:i w:val="false"/>
          <w:iCs w:val="false"/>
          <w:color w:val="1A1A1A"/>
          <w:sz w:val="20"/>
          <w:szCs w:val="20"/>
        </w:rPr>
        <w:t xml:space="preserve">☑  Certificate form: assessment statement (min 30 words), recommended roles, confirmation checkbox</w:t>
      </w:r>
    </w:p>
    <w:p>
      <w:pPr>
        <w:spacing w:before="40" w:after="40" w:line="276"/>
        <w:jc w:val="left"/>
      </w:pPr>
      <w:r>
        <w:rPr>
          <w:rFonts w:ascii="Arial" w:cs="Arial" w:eastAsia="Arial" w:hAnsi="Arial"/>
          <w:b w:val="false"/>
          <w:bCs w:val="false"/>
          <w:i w:val="false"/>
          <w:iCs w:val="false"/>
          <w:color w:val="1A1A1A"/>
          <w:sz w:val="20"/>
          <w:szCs w:val="20"/>
        </w:rPr>
        <w:t xml:space="preserve">☑  Certificate generated and published within 60 seconds of submission</w:t>
      </w:r>
    </w:p>
    <w:p>
      <w:pPr>
        <w:spacing w:before="40" w:after="40" w:line="276"/>
        <w:jc w:val="left"/>
      </w:pPr>
      <w:r>
        <w:rPr>
          <w:rFonts w:ascii="Arial" w:cs="Arial" w:eastAsia="Arial" w:hAnsi="Arial"/>
          <w:b w:val="false"/>
          <w:bCs w:val="false"/>
          <w:i w:val="false"/>
          <w:iCs w:val="false"/>
          <w:color w:val="1A1A1A"/>
          <w:sz w:val="20"/>
          <w:szCs w:val="20"/>
        </w:rPr>
        <w:t xml:space="preserve">☑  Certificate contains: student name, mentor identity, issue date, performance basis, assessment statement, recommended roles, certificate ID</w:t>
      </w:r>
    </w:p>
    <w:p>
      <w:pPr>
        <w:spacing w:before="40" w:after="40" w:line="276"/>
        <w:jc w:val="left"/>
      </w:pPr>
      <w:r>
        <w:rPr>
          <w:rFonts w:ascii="Arial" w:cs="Arial" w:eastAsia="Arial" w:hAnsi="Arial"/>
          <w:b w:val="false"/>
          <w:bCs w:val="false"/>
          <w:i w:val="false"/>
          <w:iCs w:val="false"/>
          <w:color w:val="1A1A1A"/>
          <w:sz w:val="20"/>
          <w:szCs w:val="20"/>
        </w:rPr>
        <w:t xml:space="preserve">☑  Unique certificate ID with public verification URL — recruiters can verify authenticity</w:t>
      </w:r>
    </w:p>
    <w:p>
      <w:pPr>
        <w:spacing w:before="40" w:after="40" w:line="276"/>
        <w:jc w:val="left"/>
      </w:pPr>
      <w:r>
        <w:rPr>
          <w:rFonts w:ascii="Arial" w:cs="Arial" w:eastAsia="Arial" w:hAnsi="Arial"/>
          <w:b w:val="false"/>
          <w:bCs w:val="false"/>
          <w:i w:val="false"/>
          <w:iCs w:val="false"/>
          <w:color w:val="1A1A1A"/>
          <w:sz w:val="20"/>
          <w:szCs w:val="20"/>
        </w:rPr>
        <w:t xml:space="preserve">☑  Certificate displayed on student's public profile in Communication Skills section</w:t>
      </w:r>
    </w:p>
    <w:p>
      <w:pPr>
        <w:spacing w:before="40" w:after="40" w:line="276"/>
        <w:jc w:val="left"/>
      </w:pPr>
      <w:r>
        <w:rPr>
          <w:rFonts w:ascii="Arial" w:cs="Arial" w:eastAsia="Arial" w:hAnsi="Arial"/>
          <w:b w:val="false"/>
          <w:bCs w:val="false"/>
          <w:i w:val="false"/>
          <w:iCs w:val="false"/>
          <w:color w:val="1A1A1A"/>
          <w:sz w:val="20"/>
          <w:szCs w:val="20"/>
        </w:rPr>
        <w:t xml:space="preserve">☑  Mentor receives issuance history — all certificates ever issued, with student names and dates</w:t>
      </w:r>
    </w:p>
    <w:p>
      <w:pPr>
        <w:spacing w:before="40" w:after="40" w:line="276"/>
        <w:jc w:val="left"/>
      </w:pPr>
      <w:r>
        <w:rPr>
          <w:rFonts w:ascii="Arial" w:cs="Arial" w:eastAsia="Arial" w:hAnsi="Arial"/>
          <w:b w:val="false"/>
          <w:bCs w:val="false"/>
          <w:i w:val="false"/>
          <w:iCs w:val="false"/>
          <w:color w:val="1A1A1A"/>
          <w:sz w:val="20"/>
          <w:szCs w:val="20"/>
        </w:rPr>
        <w:t xml:space="preserve">☑  Certificate can be revoked by mentor if student's performance regresses significantly — revocation logged transparently</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F.6</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Pre-GD Coaching Session</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[Pre-GD]   [Targeted Coaching]   [Topic Preparation]   [Performance Optimisation]</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Provide a focused, short-format coaching session immediately before a student's scheduled GD — targeting the specific weaknesses identified in their data and equipping them with concrete strategies for their next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 Pre-GD Coaching Session is a specialised, shorter-format mentoring session (typically 30 minutes) designed specifically to prepare a student for an upcoming GD — either a practice GD on the platform or a real GD in a recruitment process. Unlike a standard 1-on-1 session which covers broader career topics, the Pre-GD session has a defined agenda: Topic Preparation (the mentor helps the student research and structure 3–4 key points on the topic or topic area), Weakness Reminder (the mentor reviews the student's top 1–2 active weakness cards and provides a specific, practical strategy for managing them in the upcoming session), Behavioural Targets (the mentor sets 2–3 specific, measurable behavioural targets for the upcoming GD — e.g., 'Use more than 80% of your speaking time,' 'Zero interrupt attempts'), and a 5-minute Confidence Reset (a short mental preparation exercise — breathing, framing, self-talk). The student enters the GD session with a written Preparation Note summarising all of the above.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Student or mentor initiates a Pre-GD session booking — same booking process as standard sessions but with 'Pre-GD' flagged as session type. On the booking, the student is asked to fill in: the GD topic (if known), the type of GD (platform practice / college campus / recruitment company name), and the date/time of the GD. This information pre-loads into the mentor's preparation interface. The session itself runs in the platform's integrated video call. At the end of the session, the mentor fills in a Pre-GD Preparation Note — a structured 1-page document that summarises: topic key points prepared, weakness reminders given, behavioural targets set, and mentor's confidence assessment ('Student entered this session at 6/10 confidence — I expect them to perform above their recent average'). This note is saved to the student's GD record and is visible to the student as a reference immediately before their GD session.</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Pre-GD Coaching Session — Rahul | 07 March 2026 | 5:00 PM
(Rahul has a platform GD practice session at 6:30 PM — Topic: Startup Ecosystem in India)
Topic Preparation (10 minutes):
Priya and Rahul structured 4 key points:
1. India is 3rd largest startup ecosystem globally — reference: NASSCOM 2024 report.
2. Key challenges: funding access for Tier-2 city founders, regulatory friction.
3. Government role: Startup India, DPIIT recognition, tax exemptions.
4. Opportunity areas: deep tech, agri-tech, climate tech — underfunded but high impact.
Rahul writes all 4 points on a notepad before entering the GD.
Weakness Reminder (8 minutes):
Priya reviews Rahul's Speaking Time Deficit card (Amber): 'Today, commit to speaking for the full duration of your token — even if you need to repeat a point. Silence during your turn is the one thing that costs you the most points. If you run out of content, repeat your strongest point in different words.'
Behavioural Targets (5 minutes):
Target 1: Speaking Time above 80% in every turn.
Target 2: Maximum 1 interrupt attempt for the entire session.
Target 3: Use the phrase 'building on what was said earlier' at least once — signals active listening.
Confidence Reset (5 minutes):
Priya: 'Your last 3 GDs have all been above 64. You know this topic. Your preparation is better than 90% of students who enter GDs without a mentor. Trust the work.'
Session outcome: Rahul's GD on 08 March scored 71 — his all-time high. Speaking Time: 82%. Interrupt Attempts: 1. Priya's note for the record: 'Behavioural targets met. Preparation directly reflected in performance quality.'</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The gap between what a student knows in a coaching session and what they do in a GD room is primarily psychological, not informational. A student can understand exactly what they need to do and still freeze, over-speak, or revert to old habits under pressure. The Pre-GD session addresses this gap directly: it combines concrete preparation (topic research), specific behavioural anchors (measurable targets), and psychological readiness (confidence reset). The written Preparation Note acts as a tangible reference the student can re-read immediately before entering the GD — externalising the coaching so it persists beyond memory. The data shows clearly: Rahul's all-time high (71) came immediately after a Pre-GD session. The correlation is not coincidental.</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Student (Pre-GD Preparation Note on their own profile — viewable before any GD session). Mentor (full session record including confidence assessment and post-GD performance comparison). Platform Admin (session type data for analytics — not session content).</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Pre-GD session booking: student fills in GD topic, GD type, and GD date/time on booking</w:t>
      </w:r>
    </w:p>
    <w:p>
      <w:pPr>
        <w:spacing w:before="40" w:after="40" w:line="276"/>
        <w:jc w:val="left"/>
      </w:pPr>
      <w:r>
        <w:rPr>
          <w:rFonts w:ascii="Arial" w:cs="Arial" w:eastAsia="Arial" w:hAnsi="Arial"/>
          <w:b w:val="false"/>
          <w:bCs w:val="false"/>
          <w:i w:val="false"/>
          <w:iCs w:val="false"/>
          <w:color w:val="1A1A1A"/>
          <w:sz w:val="20"/>
          <w:szCs w:val="20"/>
        </w:rPr>
        <w:t xml:space="preserve">☑  Session flagged as 'Pre-GD' type — distinct from standard 1-on-1 in scheduling and reporting</w:t>
      </w:r>
    </w:p>
    <w:p>
      <w:pPr>
        <w:spacing w:before="40" w:after="40" w:line="276"/>
        <w:jc w:val="left"/>
      </w:pPr>
      <w:r>
        <w:rPr>
          <w:rFonts w:ascii="Arial" w:cs="Arial" w:eastAsia="Arial" w:hAnsi="Arial"/>
          <w:b w:val="false"/>
          <w:bCs w:val="false"/>
          <w:i w:val="false"/>
          <w:iCs w:val="false"/>
          <w:color w:val="1A1A1A"/>
          <w:sz w:val="20"/>
          <w:szCs w:val="20"/>
        </w:rPr>
        <w:t xml:space="preserve">☑  Session agenda has 4 defined segments: Topic Prep, Weakness Reminder, Behavioural Targets, Confidence Reset</w:t>
      </w:r>
    </w:p>
    <w:p>
      <w:pPr>
        <w:spacing w:before="40" w:after="40" w:line="276"/>
        <w:jc w:val="left"/>
      </w:pPr>
      <w:r>
        <w:rPr>
          <w:rFonts w:ascii="Arial" w:cs="Arial" w:eastAsia="Arial" w:hAnsi="Arial"/>
          <w:b w:val="false"/>
          <w:bCs w:val="false"/>
          <w:i w:val="false"/>
          <w:iCs w:val="false"/>
          <w:color w:val="1A1A1A"/>
          <w:sz w:val="20"/>
          <w:szCs w:val="20"/>
        </w:rPr>
        <w:t xml:space="preserve">☑  Recommended duration: 30 minutes — mentor can extend to 45 minutes if warranted</w:t>
      </w:r>
    </w:p>
    <w:p>
      <w:pPr>
        <w:spacing w:before="40" w:after="40" w:line="276"/>
        <w:jc w:val="left"/>
      </w:pPr>
      <w:r>
        <w:rPr>
          <w:rFonts w:ascii="Arial" w:cs="Arial" w:eastAsia="Arial" w:hAnsi="Arial"/>
          <w:b w:val="false"/>
          <w:bCs w:val="false"/>
          <w:i w:val="false"/>
          <w:iCs w:val="false"/>
          <w:color w:val="1A1A1A"/>
          <w:sz w:val="20"/>
          <w:szCs w:val="20"/>
        </w:rPr>
        <w:t xml:space="preserve">☑  Pre-GD Preparation Note: structured 1-page document completed by mentor at session end</w:t>
      </w:r>
    </w:p>
    <w:p>
      <w:pPr>
        <w:spacing w:before="40" w:after="40" w:line="276"/>
        <w:jc w:val="left"/>
      </w:pPr>
      <w:r>
        <w:rPr>
          <w:rFonts w:ascii="Arial" w:cs="Arial" w:eastAsia="Arial" w:hAnsi="Arial"/>
          <w:b w:val="false"/>
          <w:bCs w:val="false"/>
          <w:i w:val="false"/>
          <w:iCs w:val="false"/>
          <w:color w:val="1A1A1A"/>
          <w:sz w:val="20"/>
          <w:szCs w:val="20"/>
        </w:rPr>
        <w:t xml:space="preserve">☑  Note saved to student's GD record — student can view immediately before their GD session</w:t>
      </w:r>
    </w:p>
    <w:p>
      <w:pPr>
        <w:spacing w:before="40" w:after="40" w:line="276"/>
        <w:jc w:val="left"/>
      </w:pPr>
      <w:r>
        <w:rPr>
          <w:rFonts w:ascii="Arial" w:cs="Arial" w:eastAsia="Arial" w:hAnsi="Arial"/>
          <w:b w:val="false"/>
          <w:bCs w:val="false"/>
          <w:i w:val="false"/>
          <w:iCs w:val="false"/>
          <w:color w:val="1A1A1A"/>
          <w:sz w:val="20"/>
          <w:szCs w:val="20"/>
        </w:rPr>
        <w:t xml:space="preserve">☑  Note contains: topic key points, weakness reminders, behavioural targets, confidence assessment</w:t>
      </w:r>
    </w:p>
    <w:p>
      <w:pPr>
        <w:spacing w:before="40" w:after="40" w:line="276"/>
        <w:jc w:val="left"/>
      </w:pPr>
      <w:r>
        <w:rPr>
          <w:rFonts w:ascii="Arial" w:cs="Arial" w:eastAsia="Arial" w:hAnsi="Arial"/>
          <w:b w:val="false"/>
          <w:bCs w:val="false"/>
          <w:i w:val="false"/>
          <w:iCs w:val="false"/>
          <w:color w:val="1A1A1A"/>
          <w:sz w:val="20"/>
          <w:szCs w:val="20"/>
        </w:rPr>
        <w:t xml:space="preserve">☑  Post-GD performance auto-linked to the Pre-GD session record — mentor sees outcome comparison</w:t>
      </w:r>
    </w:p>
    <w:p>
      <w:pPr>
        <w:pageBreakBefore/>
        <w:spacing w:before="0" w:after="0"/>
      </w:pPr>
    </w:p>
    <w:p>
      <w:pPr>
        <w:pBdr>
          <w:bottom w:val="single" w:color="1B5E20" w:sz="8" w:space="2"/>
        </w:pBdr>
        <w:spacing w:before="400" w:after="120"/>
      </w:pPr>
      <w:r>
        <w:rPr>
          <w:rFonts w:ascii="Arial" w:cs="Arial" w:eastAsia="Arial" w:hAnsi="Arial"/>
          <w:b/>
          <w:bCs/>
          <w:color w:val="1B5E20"/>
          <w:sz w:val="32"/>
          <w:szCs w:val="32"/>
        </w:rPr>
        <w:t xml:space="preserve">Section F Summary</w:t>
      </w:r>
    </w:p>
    <w:p>
      <w:pPr>
        <w:spacing w:before="120" w:after="80" w:line="276"/>
        <w:jc w:val="left"/>
      </w:pPr>
      <w:r>
        <w:rPr>
          <w:rFonts w:ascii="Arial" w:cs="Arial" w:eastAsia="Arial" w:hAnsi="Arial"/>
          <w:b w:val="false"/>
          <w:bCs w:val="false"/>
          <w:i w:val="false"/>
          <w:iCs w:val="false"/>
          <w:color w:val="1A1A1A"/>
          <w:sz w:val="22"/>
          <w:szCs w:val="22"/>
        </w:rPr>
        <w:t xml:space="preserve">Section F contains 6 features that together make EcoSkiller's Mentor Module qualitatively different from any standard mentoring platform. The core distinction is this: on most platforms, a mentor only knows what a student tells them. On EcoSkiller, a mentor knows what a student actually does — every day, in every practice session, in every GD.</w:t>
      </w:r>
    </w:p>
    <w:p>
      <w:pPr>
        <w:spacing w:before="80" w:after="60" w:line="276"/>
        <w:jc w:val="left"/>
      </w:pPr>
      <w:r>
        <w:rPr>
          <w:rFonts w:ascii="Arial" w:cs="Arial" w:eastAsia="Arial" w:hAnsi="Arial"/>
          <w:b w:val="false"/>
          <w:bCs w:val="false"/>
          <w:i w:val="false"/>
          <w:iCs w:val="false"/>
          <w:color w:val="1A1A1A"/>
          <w:sz w:val="22"/>
          <w:szCs w:val="22"/>
        </w:rPr>
        <w:t xml:space="preserve">The six features address the six most important coaching questions:</w:t>
      </w:r>
    </w:p>
    <w:p>
      <w:pPr>
        <w:spacing w:before="50" w:after="50" w:line="276"/>
        <w:jc w:val="left"/>
      </w:pPr>
      <w:r>
        <w:rPr>
          <w:rFonts w:ascii="Arial" w:cs="Arial" w:eastAsia="Arial" w:hAnsi="Arial"/>
          <w:b w:val="false"/>
          <w:bCs w:val="false"/>
          <w:i w:val="false"/>
          <w:iCs w:val="false"/>
          <w:color w:val="1A1A1A"/>
          <w:sz w:val="21"/>
          <w:szCs w:val="21"/>
        </w:rPr>
        <w:t xml:space="preserve">→  F.1 — Is this student practising consistently, or only when a session is scheduled?</w:t>
      </w:r>
    </w:p>
    <w:p>
      <w:pPr>
        <w:spacing w:before="50" w:after="50" w:line="276"/>
        <w:jc w:val="left"/>
      </w:pPr>
      <w:r>
        <w:rPr>
          <w:rFonts w:ascii="Arial" w:cs="Arial" w:eastAsia="Arial" w:hAnsi="Arial"/>
          <w:b w:val="false"/>
          <w:bCs w:val="false"/>
          <w:i w:val="false"/>
          <w:iCs w:val="false"/>
          <w:color w:val="1A1A1A"/>
          <w:sz w:val="21"/>
          <w:szCs w:val="21"/>
        </w:rPr>
        <w:t xml:space="preserve">→  F.2 — Can I assign targeted practice that directly addresses what I observed?</w:t>
      </w:r>
    </w:p>
    <w:p>
      <w:pPr>
        <w:spacing w:before="50" w:after="50" w:line="276"/>
        <w:jc w:val="left"/>
      </w:pPr>
      <w:r>
        <w:rPr>
          <w:rFonts w:ascii="Arial" w:cs="Arial" w:eastAsia="Arial" w:hAnsi="Arial"/>
          <w:b w:val="false"/>
          <w:bCs w:val="false"/>
          <w:i w:val="false"/>
          <w:iCs w:val="false"/>
          <w:color w:val="1A1A1A"/>
          <w:sz w:val="21"/>
          <w:szCs w:val="21"/>
        </w:rPr>
        <w:t xml:space="preserve">→  F.3 — Is this student's GD performance genuinely improving, or am I seeing noise?</w:t>
      </w:r>
    </w:p>
    <w:p>
      <w:pPr>
        <w:spacing w:before="50" w:after="50" w:line="276"/>
        <w:jc w:val="left"/>
      </w:pPr>
      <w:r>
        <w:rPr>
          <w:rFonts w:ascii="Arial" w:cs="Arial" w:eastAsia="Arial" w:hAnsi="Arial"/>
          <w:b w:val="false"/>
          <w:bCs w:val="false"/>
          <w:i w:val="false"/>
          <w:iCs w:val="false"/>
          <w:color w:val="1A1A1A"/>
          <w:sz w:val="21"/>
          <w:szCs w:val="21"/>
        </w:rPr>
        <w:t xml:space="preserve">→  F.4 — What specific behaviour is holding this student back — and what do I do about it?</w:t>
      </w:r>
    </w:p>
    <w:p>
      <w:pPr>
        <w:spacing w:before="50" w:after="50" w:line="276"/>
        <w:jc w:val="left"/>
      </w:pPr>
      <w:r>
        <w:rPr>
          <w:rFonts w:ascii="Arial" w:cs="Arial" w:eastAsia="Arial" w:hAnsi="Arial"/>
          <w:b w:val="false"/>
          <w:bCs w:val="false"/>
          <w:i w:val="false"/>
          <w:iCs w:val="false"/>
          <w:color w:val="1A1A1A"/>
          <w:sz w:val="21"/>
          <w:szCs w:val="21"/>
        </w:rPr>
        <w:t xml:space="preserve">→  F.5 — Is this student ready for a real GD round, and can I put my name to that assessment?</w:t>
      </w:r>
    </w:p>
    <w:p>
      <w:pPr>
        <w:spacing w:before="50" w:after="50" w:line="276"/>
        <w:jc w:val="left"/>
      </w:pPr>
      <w:r>
        <w:rPr>
          <w:rFonts w:ascii="Arial" w:cs="Arial" w:eastAsia="Arial" w:hAnsi="Arial"/>
          <w:b w:val="false"/>
          <w:bCs w:val="false"/>
          <w:i w:val="false"/>
          <w:iCs w:val="false"/>
          <w:color w:val="1A1A1A"/>
          <w:sz w:val="21"/>
          <w:szCs w:val="21"/>
        </w:rPr>
        <w:t xml:space="preserve">→  F.6 — How do I translate 3 months of coaching data into 30 minutes of preparation that produces results tonight?</w:t>
      </w:r>
    </w:p>
    <w:p>
      <w:pPr>
        <w:spacing w:before="120" w:after="120" w:line="276"/>
        <w:jc w:val="left"/>
      </w:pPr>
      <w:r>
        <w:rPr>
          <w:rFonts w:ascii="Arial" w:cs="Arial" w:eastAsia="Arial" w:hAnsi="Arial"/>
          <w:b w:val="false"/>
          <w:bCs w:val="false"/>
          <w:i w:val="false"/>
          <w:iCs w:val="false"/>
          <w:color w:val="1A1A1A"/>
          <w:sz w:val="22"/>
          <w:szCs w:val="22"/>
        </w:rPr>
        <w:t xml:space="preserve">A mentor who uses all 6 features does not just guide students toward better GD scores — they engineer specific, measurable, reproducible improvements in communication behaviour. That is the difference between mentoring as a service and mentoring as a science.</w:t>
      </w:r>
    </w:p>
    <w:p>
      <w:pPr>
        <w:spacing w:before="80" w:after="80"/>
      </w:pPr>
      <w:r>
        <w:rPr>
          <w:rFonts w:ascii="Arial" w:cs="Arial" w:eastAsia="Arial" w:hAnsi="Arial"/>
          <w:b/>
          <w:bCs/>
          <w:color w:val="00695C"/>
          <w:sz w:val="22"/>
          <w:szCs w:val="22"/>
        </w:rPr>
        <w:t xml:space="preserve">Section F Completion Checklist</w:t>
      </w:r>
    </w:p>
    <w:p>
      <w:pPr>
        <w:spacing w:before="40" w:after="40" w:line="276"/>
        <w:jc w:val="left"/>
      </w:pPr>
      <w:r>
        <w:rPr>
          <w:rFonts w:ascii="Arial" w:cs="Arial" w:eastAsia="Arial" w:hAnsi="Arial"/>
          <w:b w:val="false"/>
          <w:bCs w:val="false"/>
          <w:i w:val="false"/>
          <w:iCs w:val="false"/>
          <w:color w:val="1A1A1A"/>
          <w:sz w:val="20"/>
          <w:szCs w:val="20"/>
        </w:rPr>
        <w:t xml:space="preserve">☑  Dojo Tab reviewed for each assigned student at least once per week</w:t>
      </w:r>
    </w:p>
    <w:p>
      <w:pPr>
        <w:spacing w:before="40" w:after="40" w:line="276"/>
        <w:jc w:val="left"/>
      </w:pPr>
      <w:r>
        <w:rPr>
          <w:rFonts w:ascii="Arial" w:cs="Arial" w:eastAsia="Arial" w:hAnsi="Arial"/>
          <w:b w:val="false"/>
          <w:bCs w:val="false"/>
          <w:i w:val="false"/>
          <w:iCs w:val="false"/>
          <w:color w:val="1A1A1A"/>
          <w:sz w:val="20"/>
          <w:szCs w:val="20"/>
        </w:rPr>
        <w:t xml:space="preserve">☑  Inactivity alerts actioned within 48 hours of appearing</w:t>
      </w:r>
    </w:p>
    <w:p>
      <w:pPr>
        <w:spacing w:before="40" w:after="40" w:line="276"/>
        <w:jc w:val="left"/>
      </w:pPr>
      <w:r>
        <w:rPr>
          <w:rFonts w:ascii="Arial" w:cs="Arial" w:eastAsia="Arial" w:hAnsi="Arial"/>
          <w:b w:val="false"/>
          <w:bCs w:val="false"/>
          <w:i w:val="false"/>
          <w:iCs w:val="false"/>
          <w:color w:val="1A1A1A"/>
          <w:sz w:val="20"/>
          <w:szCs w:val="20"/>
        </w:rPr>
        <w:t xml:space="preserve">☑  At least one Custom Mission assigned per student per month</w:t>
      </w:r>
    </w:p>
    <w:p>
      <w:pPr>
        <w:spacing w:before="40" w:after="40" w:line="276"/>
        <w:jc w:val="left"/>
      </w:pPr>
      <w:r>
        <w:rPr>
          <w:rFonts w:ascii="Arial" w:cs="Arial" w:eastAsia="Arial" w:hAnsi="Arial"/>
          <w:b w:val="false"/>
          <w:bCs w:val="false"/>
          <w:i w:val="false"/>
          <w:iCs w:val="false"/>
          <w:color w:val="1A1A1A"/>
          <w:sz w:val="20"/>
          <w:szCs w:val="20"/>
        </w:rPr>
        <w:t xml:space="preserve">☑  GD Score Trend reviewed before every mentoring session</w:t>
      </w:r>
    </w:p>
    <w:p>
      <w:pPr>
        <w:spacing w:before="40" w:after="40" w:line="276"/>
        <w:jc w:val="left"/>
      </w:pPr>
      <w:r>
        <w:rPr>
          <w:rFonts w:ascii="Arial" w:cs="Arial" w:eastAsia="Arial" w:hAnsi="Arial"/>
          <w:b w:val="false"/>
          <w:bCs w:val="false"/>
          <w:i w:val="false"/>
          <w:iCs w:val="false"/>
          <w:color w:val="1A1A1A"/>
          <w:sz w:val="20"/>
          <w:szCs w:val="20"/>
        </w:rPr>
        <w:t xml:space="preserve">☑  GD Weakness Cards reviewed after every 3rd GD session — coaching adjusted accordingly</w:t>
      </w:r>
    </w:p>
    <w:p>
      <w:pPr>
        <w:spacing w:before="40" w:after="40" w:line="276"/>
        <w:jc w:val="left"/>
      </w:pPr>
      <w:r>
        <w:rPr>
          <w:rFonts w:ascii="Arial" w:cs="Arial" w:eastAsia="Arial" w:hAnsi="Arial"/>
          <w:b w:val="false"/>
          <w:bCs w:val="false"/>
          <w:i w:val="false"/>
          <w:iCs w:val="false"/>
          <w:color w:val="1A1A1A"/>
          <w:sz w:val="20"/>
          <w:szCs w:val="20"/>
        </w:rPr>
        <w:t xml:space="preserve">☑  GD Readiness Certificate issued when all 3 eligibility conditions are met</w:t>
      </w:r>
    </w:p>
    <w:p>
      <w:pPr>
        <w:spacing w:before="40" w:after="40" w:line="276"/>
        <w:jc w:val="left"/>
      </w:pPr>
      <w:r>
        <w:rPr>
          <w:rFonts w:ascii="Arial" w:cs="Arial" w:eastAsia="Arial" w:hAnsi="Arial"/>
          <w:b w:val="false"/>
          <w:bCs w:val="false"/>
          <w:i w:val="false"/>
          <w:iCs w:val="false"/>
          <w:color w:val="1A1A1A"/>
          <w:sz w:val="20"/>
          <w:szCs w:val="20"/>
        </w:rPr>
        <w:t xml:space="preserve">☑  Pre-GD Coaching Session offered before every high-stakes real-world GD</w:t>
      </w:r>
    </w:p>
    <w:p>
      <w:pPr>
        <w:spacing w:before="40" w:after="40" w:line="276"/>
        <w:jc w:val="left"/>
      </w:pPr>
      <w:r>
        <w:rPr>
          <w:rFonts w:ascii="Arial" w:cs="Arial" w:eastAsia="Arial" w:hAnsi="Arial"/>
          <w:b w:val="false"/>
          <w:bCs w:val="false"/>
          <w:i w:val="false"/>
          <w:iCs w:val="false"/>
          <w:color w:val="1A1A1A"/>
          <w:sz w:val="20"/>
          <w:szCs w:val="20"/>
        </w:rPr>
        <w:t xml:space="preserve">☑  Pre-GD Preparation Note completed and saved within 30 minutes of session end</w:t>
      </w:r>
    </w:p>
    <w:p>
      <w:pPr>
        <w:spacing w:before="40" w:after="40" w:line="276"/>
        <w:jc w:val="left"/>
      </w:pPr>
      <w:r>
        <w:rPr>
          <w:rFonts w:ascii="Arial" w:cs="Arial" w:eastAsia="Arial" w:hAnsi="Arial"/>
          <w:b w:val="false"/>
          <w:bCs w:val="false"/>
          <w:i w:val="false"/>
          <w:iCs w:val="false"/>
          <w:color w:val="1A1A1A"/>
          <w:sz w:val="20"/>
          <w:szCs w:val="20"/>
        </w:rPr>
        <w:t xml:space="preserve">☑  Post-GD performance reviewed — comparison to Pre-GD targets documented</w:t>
      </w:r>
    </w:p>
    <w:p>
      <w:pPr>
        <w:spacing w:before="300" w:after="60"/>
      </w:pPr>
      <w:r>
        <w:rPr>
          <w:rFonts w:ascii="Arial" w:cs="Arial" w:eastAsia="Arial" w:hAnsi="Arial"/>
          <w:i/>
          <w:iCs/>
          <w:color w:val="616161"/>
          <w:sz w:val="18"/>
          <w:szCs w:val="18"/>
        </w:rPr>
        <w:t xml:space="preserve">EcoSkiller Mentor Module — Section F: Dojo &amp; GD Integration  |  v1.0  |  March 2026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4" w:space="4"/>
      </w:pBdr>
      <w:spacing w:before="80"/>
      <w:jc w:val="center"/>
    </w:pPr>
    <w:r>
      <w:rPr>
        <w:rFonts w:ascii="Arial" w:cs="Arial" w:eastAsia="Arial" w:hAnsi="Arial"/>
        <w:color w:val="616161"/>
        <w:sz w:val="18"/>
        <w:szCs w:val="18"/>
      </w:rPr>
      <w:t xml:space="preserve">Page </w:t>
    </w:r>
    <w:r>
      <w:rPr>
        <w:rFonts w:ascii="Arial" w:cs="Arial" w:eastAsia="Arial" w:hAnsi="Arial"/>
        <w:color w:val="616161"/>
        <w:sz w:val="18"/>
        <w:szCs w:val="18"/>
      </w:rPr>
      <w:fldChar w:fldCharType="begin"/>
      <w:instrText xml:space="preserve">PAGE</w:instrText>
      <w:fldChar w:fldCharType="separate"/>
      <w:fldChar w:fldCharType="end"/>
    </w:r>
    <w:r>
      <w:rPr>
        <w:rFonts w:ascii="Arial" w:cs="Arial" w:eastAsia="Arial" w:hAnsi="Arial"/>
        <w:color w:val="616161"/>
        <w:sz w:val="18"/>
        <w:szCs w:val="18"/>
      </w:rPr>
      <w:t xml:space="preserve"> of </w:t>
    </w:r>
    <w:r>
      <w:rPr>
        <w:rFonts w:ascii="Arial" w:cs="Arial" w:eastAsia="Arial" w:hAnsi="Arial"/>
        <w:color w:val="616161"/>
        <w:sz w:val="18"/>
        <w:szCs w:val="18"/>
      </w:rPr>
      <w:fldChar w:fldCharType="begin"/>
      <w:instrText xml:space="preserve">NUMPAGES</w:instrText>
      <w:fldChar w:fldCharType="separate"/>
      <w:fldChar w:fldCharType="end"/>
    </w:r>
    <w:r>
      <w:rPr>
        <w:rFonts w:ascii="Arial" w:cs="Arial" w:eastAsia="Arial" w:hAnsi="Arial"/>
        <w:color w:val="616161"/>
        <w:sz w:val="18"/>
        <w:szCs w:val="18"/>
      </w:rPr>
      <w:t xml:space="preserve">  |  Confidential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4" w:space="4"/>
      </w:pBdr>
      <w:spacing w:after="80"/>
      <w:jc w:val="right"/>
    </w:pPr>
    <w:r>
      <w:rPr>
        <w:rFonts w:ascii="Arial" w:cs="Arial" w:eastAsia="Arial" w:hAnsi="Arial"/>
        <w:color w:val="616161"/>
        <w:sz w:val="18"/>
        <w:szCs w:val="18"/>
      </w:rPr>
      <w:t xml:space="preserve">EcoSkiller  |  Mentor Module  |  Section F: Dojo &amp; GD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2026-03-09T10:05:42.062Z</dcterms:created>
  <dcterms:modified xsi:type="dcterms:W3CDTF">2026-03-09T10:05:42.063Z</dcterms:modified>
</cp:coreProperties>
</file>

<file path=docProps/custom.xml><?xml version="1.0" encoding="utf-8"?>
<Properties xmlns="http://schemas.openxmlformats.org/officeDocument/2006/custom-properties" xmlns:vt="http://schemas.openxmlformats.org/officeDocument/2006/docPropsVTypes"/>
</file>