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Parents &amp; Families — Extracted Sections</w:t>
      </w:r>
    </w:p>
    <w:p>
      <w:r>
        <w:rPr>
          <w:i/>
        </w:rPr>
        <w:t>Extracted from: Society Skill Development &amp; Tournament Franchise Model</w:t>
      </w:r>
    </w:p>
    <w:p/>
    <w:p>
      <w:pPr>
        <w:pStyle w:val="Heading2"/>
      </w:pPr>
      <w:r>
        <w:t>1. Executive Summary</w:t>
      </w:r>
    </w:p>
    <w:p>
      <w:r>
        <w:t>The modern residential society — and India's vast rural landscape — face a common challenge: children and youth spend weekends passively consuming mobile content rather than developing real-world skills, while educated and talented adults within the same community have no structured platform to monetize their expertise or contribute meaningfully.</w:t>
      </w:r>
    </w:p>
    <w:p>
      <w:r>
        <w:t>This research proposes a comprehensive offline Society Skill Development and Tournament Franchise Model — a structured, scalable framework that transforms residential societies, villages, and rural clusters into active learning hubs. This model creates income opportunities for skilled adults, delivers genuine education to children, and builds community through tournaments, workshops, and project-based events.</w:t>
      </w:r>
    </w:p>
    <w:p>
      <w:pPr>
        <w:pStyle w:val="Heading2"/>
      </w:pPr>
      <w:r>
        <w:t>2.1 The Mobile Dependency Crisis in Societies</w:t>
      </w:r>
    </w:p>
    <w:p>
      <w:r>
        <w:t>Across urban and semi-urban residential societies in India, a disturbing pattern has emerged on weekends and holidays. Children of all age groups — from 6 to 18 years — are found idle, engaged with mobile phones for hours on end. This passive consumption of social media, gaming, and video content has led to:</w:t>
      </w:r>
    </w:p>
    <w:p>
      <w:pPr>
        <w:pStyle w:val="Heading2"/>
      </w:pPr>
      <w:r>
        <w:t>Women and girls have no structured skill-building or income platform nearby</w:t>
      </w:r>
    </w:p>
    <w:p>
      <w:pPr>
        <w:pStyle w:val="Heading2"/>
      </w:pPr>
      <w:r>
        <w:t>Agricultural families depend on a single income stream with no skill diversification</w:t>
      </w:r>
    </w:p>
    <w:p>
      <w:pPr>
        <w:pStyle w:val="Heading2"/>
      </w:pPr>
      <w:r>
        <w:t>5. Skill Workshop Model — Adults Teaching, Adults Earning</w:t>
      </w:r>
    </w:p>
    <w:p>
      <w:r>
        <w:t>The workshop model is the economic engine of this framework. Educated and skilled adults within the society register as 'Skill Coaches' and conduct structured learning sessions for children and other adults. This creates a dignified, flexible income stream without requiring any external jobs.</w:t>
      </w:r>
    </w:p>
    <w:p>
      <w:pPr>
        <w:pStyle w:val="Heading2"/>
      </w:pPr>
      <w:r>
        <w:t>Step 2 — Structured Curriculum Design</w:t>
      </w:r>
    </w:p>
    <w:p>
      <w:r>
        <w:t>Each Skill Coach designs a 4-8 week module with clear weekly outcomes. Unlike random tutorials, this follows a progression: basics → intermediate → project → assessment. This mirrors how real institutions teach, ensuring children walk away with actual competence, not just exposure.</w:t>
      </w:r>
    </w:p>
    <w:p>
      <w:pPr>
        <w:pStyle w:val="Heading2"/>
      </w:pPr>
      <w:r>
        <w:t>6. Exposition &amp; Project-Based Learning Events</w:t>
      </w:r>
    </w:p>
    <w:p>
      <w:r>
        <w:t>Beyond competition and instruction, the model includes structured Project Expositions — events where children and adults showcase work they have built over weeks or months. This mirrors the concept of science fairs but extends to all skill areas.</w:t>
      </w:r>
    </w:p>
    <w:p>
      <w:pPr>
        <w:pStyle w:val="Heading2"/>
      </w:pPr>
      <w:r>
        <w:t>6.1 Types of Expositions</w:t>
      </w:r>
    </w:p>
    <w:p>
      <w:r>
        <w:t>STEM Exposition: Working models, coding projects, science experiments built by children over 6-8 weeks</w:t>
      </w:r>
    </w:p>
    <w:p>
      <w:r>
        <w:t>Arts &amp; Craft Fair: Handmade products displayed and sold — children experience entrepreneurship firsthand</w:t>
      </w:r>
    </w:p>
    <w:p>
      <w:pPr>
        <w:pStyle w:val="Heading2"/>
      </w:pPr>
      <w:r>
        <w:t>7.2 Revenue Streams for the Franchise</w:t>
      </w:r>
    </w:p>
    <w:p>
      <w:pPr>
        <w:pStyle w:val="Heading2"/>
      </w:pPr>
      <w:r>
        <w:t>Workshop enrollment fees from families (₹150-₹300 per child per module)</w:t>
      </w:r>
    </w:p>
    <w:p>
      <w:pPr>
        <w:pStyle w:val="Heading2"/>
      </w:pPr>
      <w:r>
        <w:t>Material kit sales for each skill module</w:t>
      </w:r>
    </w:p>
    <w:p>
      <w:r>
        <w:t>Annual Society Membership Cards (families pay ₹500-₹1,000/year for discounts and priority enrollment)</w:t>
      </w:r>
    </w:p>
    <w:p>
      <w:pPr>
        <w:pStyle w:val="Heading2"/>
      </w:pPr>
      <w:r>
        <w:t>10. Expected Impact &amp; Outcomes</w:t>
      </w:r>
    </w:p>
    <w:p>
      <w:pPr>
        <w:pStyle w:val="Heading2"/>
      </w:pPr>
      <w:r>
        <w:t>10.1 For Children</w:t>
      </w:r>
    </w:p>
    <w:p>
      <w:pPr>
        <w:pStyle w:val="Heading2"/>
      </w:pPr>
      <w:r>
        <w:t>10.3 For the Society &amp; Community</w:t>
      </w:r>
    </w:p>
    <w:p>
      <w:pPr>
        <w:pStyle w:val="Heading2"/>
      </w:pPr>
      <w:r>
        <w:t>Stronger community bonds — families interact across age groups</w:t>
      </w:r>
    </w:p>
    <w:p>
      <w:r>
        <w:t>Option C (Franchise Scale): Register a Private Limited Company or LLP — required for formal franchise licensing and inter-state expansion</w:t>
      </w:r>
    </w:p>
    <w:p>
      <w:r>
        <w:t>Coach vetting process: All Skill Coaches must submit a resident proof, skill demonstration session before first batch, and sign a Code of Conduct agreement. Background verification recommended for coaches teaching children under 12.</w:t>
      </w:r>
    </w:p>
    <w:p>
      <w:pPr>
        <w:pStyle w:val="Heading2"/>
      </w:pPr>
      <w:r>
        <w:t>Phase 2 — WhatsApp Bot (Month 5+)</w:t>
      </w:r>
    </w:p>
    <w:p>
      <w:r>
        <w:t>A simple WhatsApp Business Bot (using WATI or Interakt, ₹1,500-3,000/month) enables automated registration, fee reminders, session schedules, and report card delivery. No app download required — families interact entirely through WhatsApp, which they already use.</w:t>
      </w:r>
    </w:p>
    <w:p>
      <w:r>
        <w:t>Cash-based or barter-adjusted fee collection is necessary in many rural settings. The model is designed to be inclusive while remaining financially viable:</w:t>
      </w:r>
    </w:p>
    <w:p>
      <w:r>
        <w:t>Tiered fee approach: Free for BPL families, 50% subsidized for APL families, standard rate for others</w:t>
      </w:r>
    </w:p>
    <w:p>
      <w:r>
        <w:t>Rural: Lead with a Free First Session — demonstration of real value is more powerful than any marketing in rural settings. First session converts 60-70% of attendees.</w:t>
      </w:r>
    </w:p>
    <w:p>
      <w:r>
        <w:t>Bundle Pricing: Family bundle — one child + one adult learning simultaneously at 20% combined discount. Increases per-household enrollment significantly.</w:t>
      </w:r>
    </w:p>
    <w:p>
      <w:r>
        <w:t>Early Bird Discount: 10% off for enrollment 7+ days before module start. Improves cash flow planning and reduces last-minute dropouts.</w:t>
      </w:r>
    </w:p>
    <w:p>
      <w:r>
        <w:t>Sibling Discount: Second child from same family gets 20% discount. Third child gets 30% discount. Maximizes household enrollment in large families.</w:t>
      </w:r>
    </w:p>
    <w:p>
      <w:r>
        <w:t>Energy Beats Credentials in Rural Settings: A highly energetic, trustworthy person with Class 10 education and deep community respect will outperform a qualified urban professional every single time in rural implementation.</w:t>
      </w:r>
    </w:p>
    <w:p>
      <w:r>
        <w:t>Panchayat Endorsement: Ideally, the Gram Pradhan or Ward Member publicly endorses or actively supports the coordinator. This provides legitimacy, speeds venue access, and signals to families that the program is trustworthy.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