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60"/>
      </w:pPr>
      <w:r>
        <w:rPr>
          <w:rFonts w:ascii="Arial" w:cs="Arial" w:eastAsia="Arial" w:hAnsi="Arial"/>
          <w:b/>
          <w:bCs/>
          <w:color w:val="0D1B2A"/>
          <w:sz w:val="74"/>
          <w:szCs w:val="74"/>
        </w:rPr>
        <w:t xml:space="preserve">ECOSKILLER</w:t>
      </w:r>
    </w:p>
    <w:p>
      <w:pPr>
        <w:spacing w:before="0" w:after="60"/>
      </w:pPr>
      <w:r>
        <w:rPr>
          <w:rFonts w:ascii="Arial" w:cs="Arial" w:eastAsia="Arial" w:hAnsi="Arial"/>
          <w:b/>
          <w:bCs/>
          <w:color w:val="006D77"/>
          <w:sz w:val="40"/>
          <w:szCs w:val="40"/>
        </w:rPr>
        <w:t xml:space="preserve">Recruiter Module</w:t>
      </w:r>
    </w:p>
    <w:p>
      <w:pPr>
        <w:spacing w:before="0" w:after="60"/>
      </w:pPr>
      <w:r>
        <w:rPr>
          <w:rFonts w:ascii="Arial" w:cs="Arial" w:eastAsia="Arial" w:hAnsi="Arial"/>
          <w:b/>
          <w:bCs/>
          <w:color w:val="1A3A5C"/>
          <w:sz w:val="34"/>
          <w:szCs w:val="34"/>
        </w:rPr>
        <w:t xml:space="preserve">Section 10: Candidate Profile &amp; Portfolio Review</w:t>
      </w:r>
    </w:p>
    <w:p>
      <w:pPr>
        <w:spacing w:before="0" w:after="60"/>
      </w:pPr>
      <w:r>
        <w:rPr>
          <w:rFonts w:ascii="Arial" w:cs="Arial" w:eastAsia="Arial" w:hAnsi="Arial"/>
          <w:color w:val="555555"/>
          <w:sz w:val="24"/>
          <w:szCs w:val="24"/>
        </w:rPr>
        <w:t xml:space="preserve">Complete Feature Documentation — 12 Features</w:t>
      </w:r>
    </w:p>
    <w:p>
      <w:pPr>
        <w:spacing w:before="0" w:after="500"/>
      </w:pPr>
      <w:r>
        <w:rPr>
          <w:rFonts w:ascii="Arial" w:cs="Arial" w:eastAsia="Arial" w:hAnsi="Arial"/>
          <w:i/>
          <w:iCs/>
          <w:color w:val="555555"/>
          <w:sz w:val="20"/>
          <w:szCs w:val="20"/>
        </w:rPr>
        <w:t xml:space="preserve">Version 1.0  |  March 2026  |  Confidential</w:t>
      </w:r>
    </w:p>
    <w:p>
      <w:pPr>
        <w:pBdr>
          <w:bottom w:val="single" w:color="0D1B2A" w:sz="18" w:space="1"/>
        </w:pBdr>
        <w:spacing w:before="0" w:after="0"/>
      </w:pPr>
    </w:p>
    <w:p>
      <w:pPr>
        <w:spacing w:before="400" w:after="100"/>
      </w:pPr>
      <w:r>
        <w:rPr>
          <w:rFonts w:ascii="Arial" w:cs="Arial" w:eastAsia="Arial" w:hAnsi="Arial"/>
          <w:b/>
          <w:bCs/>
          <w:color w:val="0D1B2A"/>
          <w:sz w:val="28"/>
          <w:szCs w:val="28"/>
        </w:rPr>
        <w:t xml:space="preserve">About This Document</w:t>
      </w:r>
    </w:p>
    <w:p>
      <w:pPr>
        <w:spacing w:before="80" w:after="80" w:line="280"/>
        <w:jc w:val="left"/>
      </w:pPr>
      <w:r>
        <w:rPr>
          <w:rFonts w:ascii="Arial" w:cs="Arial" w:eastAsia="Arial" w:hAnsi="Arial"/>
          <w:b w:val="false"/>
          <w:bCs w:val="false"/>
          <w:i w:val="false"/>
          <w:iCs w:val="false"/>
          <w:color w:val="1A1A1A"/>
          <w:sz w:val="22"/>
          <w:szCs w:val="22"/>
        </w:rPr>
        <w:t xml:space="preserve">This document provides complete operational documentation for Section 10 (Candidate Profile &amp; Portfolio Review) of the EcoSkiller Recruiter Module. It covers all 12 features in full detail — purpose, functionality, workflow, real-world examples, visibility rules, and implementation checklists.</w:t>
      </w:r>
    </w:p>
    <w:p>
      <w:pPr>
        <w:spacing w:before="80" w:after="80" w:line="280"/>
        <w:jc w:val="left"/>
      </w:pPr>
      <w:r>
        <w:rPr>
          <w:rFonts w:ascii="Arial" w:cs="Arial" w:eastAsia="Arial" w:hAnsi="Arial"/>
          <w:b w:val="false"/>
          <w:bCs w:val="false"/>
          <w:i w:val="false"/>
          <w:iCs w:val="false"/>
          <w:color w:val="1A1A1A"/>
          <w:sz w:val="22"/>
          <w:szCs w:val="22"/>
        </w:rPr>
        <w:t xml:space="preserve">Section 10 is the evidence layer of the Recruiter Module — the place where everything the candidate has built on the platform becomes visible to the people deciding whether to hire them. Its central design principle is trust differentiation: for every credential, skill, achievement, and project, the system distinguishes between what has been platform-verified, what has been externally verified, and what has been self-declared. Recruiters never need to guess how much weight to give a piece of evidence — the platform tells them.</w:t>
      </w:r>
    </w:p>
    <w:p>
      <w:pPr>
        <w:spacing w:before="80" w:after="300" w:line="280"/>
        <w:jc w:val="left"/>
      </w:pPr>
      <w:r>
        <w:rPr>
          <w:rFonts w:ascii="Arial" w:cs="Arial" w:eastAsia="Arial" w:hAnsi="Arial"/>
          <w:b w:val="false"/>
          <w:bCs w:val="false"/>
          <w:i w:val="false"/>
          <w:iCs w:val="false"/>
          <w:color w:val="1A1A1A"/>
          <w:sz w:val="22"/>
          <w:szCs w:val="22"/>
        </w:rPr>
        <w:t xml:space="preserve">The 12 features cover every dimension of a candidate's professional identity: the Skill Passport (10.1–10.2) shows what they know and at what depth. The Portfolio layer (10.3–10.5) shows what they have built. The Credential layer (10.6–10.8) shows how they have been recognised. The Experience layer (10.9) shows what they have done professionally. The Development layer (10.10–10.11) shows how they have grown. And the Career Readiness Index (10.12) synthesises everything into a single, actionable composite signal.</w:t>
      </w:r>
    </w:p>
    <w:p>
      <w:pPr>
        <w:pBdr>
          <w:bottom w:val="single" w:color="0D1B2A" w:sz="6" w:space="2"/>
        </w:pBdr>
        <w:spacing w:before="300" w:after="120"/>
      </w:pPr>
      <w:r>
        <w:rPr>
          <w:rFonts w:ascii="Arial" w:cs="Arial" w:eastAsia="Arial" w:hAnsi="Arial"/>
          <w:b/>
          <w:bCs/>
          <w:color w:val="0D1B2A"/>
          <w:sz w:val="26"/>
          <w:szCs w:val="26"/>
        </w:rPr>
        <w:t xml:space="preserve">Section 10 — Feature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360"/>
        <w:gridCol w:w="3760"/>
        <w:gridCol w:w="2760"/>
      </w:tblGrid>
      <w:tr>
        <w:trPr>
          <w:tblHeader/>
        </w:trPr>
        <w:tc>
          <w:tcPr>
            <w:tcW w:type="dxa" w:w="480"/>
            <w:gridSpan w:val="1"/>
            <w:tcBorders>
              <w:top w:val="single" w:color="C5D4E8" w:sz="4"/>
              <w:left w:val="single" w:color="C5D4E8" w:sz="4"/>
              <w:bottom w:val="single" w:color="C5D4E8" w:sz="4"/>
              <w:right w:val="single" w:color="C5D4E8" w:sz="4"/>
            </w:tcBorders>
            <w:shd w:fill="0D1B2A"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No.</w:t>
            </w:r>
          </w:p>
        </w:tc>
        <w:tc>
          <w:tcPr>
            <w:tcW w:type="dxa" w:w="2360"/>
            <w:gridSpan w:val="1"/>
            <w:tcBorders>
              <w:top w:val="single" w:color="C5D4E8" w:sz="4"/>
              <w:left w:val="single" w:color="C5D4E8" w:sz="4"/>
              <w:bottom w:val="single" w:color="C5D4E8" w:sz="4"/>
              <w:right w:val="single" w:color="C5D4E8" w:sz="4"/>
            </w:tcBorders>
            <w:shd w:fill="0D1B2A"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Feature Name</w:t>
            </w:r>
          </w:p>
        </w:tc>
        <w:tc>
          <w:tcPr>
            <w:tcW w:type="dxa" w:w="3760"/>
            <w:gridSpan w:val="1"/>
            <w:tcBorders>
              <w:top w:val="single" w:color="C5D4E8" w:sz="4"/>
              <w:left w:val="single" w:color="C5D4E8" w:sz="4"/>
              <w:bottom w:val="single" w:color="C5D4E8" w:sz="4"/>
              <w:right w:val="single" w:color="C5D4E8" w:sz="4"/>
            </w:tcBorders>
            <w:shd w:fill="0D1B2A"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Core Purpose</w:t>
            </w:r>
          </w:p>
        </w:tc>
        <w:tc>
          <w:tcPr>
            <w:tcW w:type="dxa" w:w="2760"/>
            <w:gridSpan w:val="1"/>
            <w:tcBorders>
              <w:top w:val="single" w:color="C5D4E8" w:sz="4"/>
              <w:left w:val="single" w:color="C5D4E8" w:sz="4"/>
              <w:bottom w:val="single" w:color="C5D4E8" w:sz="4"/>
              <w:right w:val="single" w:color="C5D4E8" w:sz="4"/>
            </w:tcBorders>
            <w:shd w:fill="0D1B2A"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Key Output</w:t>
            </w:r>
          </w:p>
        </w:tc>
      </w:tr>
      <w:tr>
        <w:tc>
          <w:tcPr>
            <w:tcW w:type="dxa" w:w="48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center"/>
            </w:pPr>
            <w:r>
              <w:rPr>
                <w:rFonts w:ascii="Arial" w:cs="Arial" w:eastAsia="Arial" w:hAnsi="Arial"/>
                <w:b/>
                <w:bCs/>
                <w:i w:val="false"/>
                <w:iCs w:val="false"/>
                <w:color w:val="1A3A5C"/>
                <w:sz w:val="20"/>
                <w:szCs w:val="20"/>
              </w:rPr>
              <w:t xml:space="preserve">1</w:t>
            </w:r>
          </w:p>
        </w:tc>
        <w:tc>
          <w:tcPr>
            <w:tcW w:type="dxa" w:w="23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1A1A1A"/>
                <w:sz w:val="20"/>
                <w:szCs w:val="20"/>
              </w:rPr>
              <w:t xml:space="preserve">Skill Passport View</w:t>
            </w:r>
          </w:p>
        </w:tc>
        <w:tc>
          <w:tcPr>
            <w:tcW w:type="dxa" w:w="37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Give recruiters a single, consolidated view of a candidate's complete verified skill profile — aggregating platform-certified s...</w:t>
            </w:r>
          </w:p>
        </w:tc>
        <w:tc>
          <w:tcPr>
            <w:tcW w:type="dxa" w:w="27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555555"/>
                <w:sz w:val="18"/>
                <w:szCs w:val="18"/>
              </w:rPr>
              <w:t xml:space="preserve">Trust-tiered skill grid — Platform Certified / Mentor Endorsed / Self-Declared</w:t>
            </w:r>
          </w:p>
        </w:tc>
      </w:tr>
      <w:tr>
        <w:tc>
          <w:tcPr>
            <w:tcW w:type="dxa" w:w="48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center"/>
            </w:pPr>
            <w:r>
              <w:rPr>
                <w:rFonts w:ascii="Arial" w:cs="Arial" w:eastAsia="Arial" w:hAnsi="Arial"/>
                <w:b/>
                <w:bCs/>
                <w:i w:val="false"/>
                <w:iCs w:val="false"/>
                <w:color w:val="1A3A5C"/>
                <w:sz w:val="20"/>
                <w:szCs w:val="20"/>
              </w:rPr>
              <w:t xml:space="preserve">2</w:t>
            </w:r>
          </w:p>
        </w:tc>
        <w:tc>
          <w:tcPr>
            <w:tcW w:type="dxa" w:w="236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1A1A1A"/>
                <w:sz w:val="20"/>
                <w:szCs w:val="20"/>
              </w:rPr>
              <w:t xml:space="preserve">Skill Proficiency Levels</w:t>
            </w:r>
          </w:p>
        </w:tc>
        <w:tc>
          <w:tcPr>
            <w:tcW w:type="dxa" w:w="376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Present each candidate skill with a standardised, platform-defined proficiency level — giving recruiters a consistent benchmark...</w:t>
            </w:r>
          </w:p>
        </w:tc>
        <w:tc>
          <w:tcPr>
            <w:tcW w:type="dxa" w:w="276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555555"/>
                <w:sz w:val="18"/>
                <w:szCs w:val="18"/>
              </w:rPr>
              <w:t xml:space="preserve">5-level proficiency standard with evidence chain + candidate comparison grid</w:t>
            </w:r>
          </w:p>
        </w:tc>
      </w:tr>
      <w:tr>
        <w:tc>
          <w:tcPr>
            <w:tcW w:type="dxa" w:w="48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center"/>
            </w:pPr>
            <w:r>
              <w:rPr>
                <w:rFonts w:ascii="Arial" w:cs="Arial" w:eastAsia="Arial" w:hAnsi="Arial"/>
                <w:b/>
                <w:bCs/>
                <w:i w:val="false"/>
                <w:iCs w:val="false"/>
                <w:color w:val="1A3A5C"/>
                <w:sz w:val="20"/>
                <w:szCs w:val="20"/>
              </w:rPr>
              <w:t xml:space="preserve">3</w:t>
            </w:r>
          </w:p>
        </w:tc>
        <w:tc>
          <w:tcPr>
            <w:tcW w:type="dxa" w:w="23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1A1A1A"/>
                <w:sz w:val="20"/>
                <w:szCs w:val="20"/>
              </w:rPr>
              <w:t xml:space="preserve">Project Portfolio Viewer</w:t>
            </w:r>
          </w:p>
        </w:tc>
        <w:tc>
          <w:tcPr>
            <w:tcW w:type="dxa" w:w="37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Allow recruiters to review a candidate's actual project work — reading briefs, outcomes, client feedback, and deliverable descr...</w:t>
            </w:r>
          </w:p>
        </w:tc>
        <w:tc>
          <w:tcPr>
            <w:tcW w:type="dxa" w:w="27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555555"/>
                <w:sz w:val="18"/>
                <w:szCs w:val="18"/>
              </w:rPr>
              <w:t xml:space="preserve">Project gallery with company ratings, mentor reviews, live output links</w:t>
            </w:r>
          </w:p>
        </w:tc>
      </w:tr>
      <w:tr>
        <w:tc>
          <w:tcPr>
            <w:tcW w:type="dxa" w:w="48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center"/>
            </w:pPr>
            <w:r>
              <w:rPr>
                <w:rFonts w:ascii="Arial" w:cs="Arial" w:eastAsia="Arial" w:hAnsi="Arial"/>
                <w:b/>
                <w:bCs/>
                <w:i w:val="false"/>
                <w:iCs w:val="false"/>
                <w:color w:val="1A3A5C"/>
                <w:sz w:val="20"/>
                <w:szCs w:val="20"/>
              </w:rPr>
              <w:t xml:space="preserve">4</w:t>
            </w:r>
          </w:p>
        </w:tc>
        <w:tc>
          <w:tcPr>
            <w:tcW w:type="dxa" w:w="236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1A1A1A"/>
                <w:sz w:val="20"/>
                <w:szCs w:val="20"/>
              </w:rPr>
              <w:t xml:space="preserve">Live Project Demos</w:t>
            </w:r>
          </w:p>
        </w:tc>
        <w:tc>
          <w:tcPr>
            <w:tcW w:type="dxa" w:w="376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Enable candidates to showcase interactive, live versions of their project outputs directly within the recruiter's profile revie...</w:t>
            </w:r>
          </w:p>
        </w:tc>
        <w:tc>
          <w:tcPr>
            <w:tcW w:type="dxa" w:w="276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555555"/>
                <w:sz w:val="18"/>
                <w:szCs w:val="18"/>
              </w:rPr>
              <w:t xml:space="preserve">Embedded interactive demos — Tableau, Streamlit, Notebook, Video</w:t>
            </w:r>
          </w:p>
        </w:tc>
      </w:tr>
      <w:tr>
        <w:tc>
          <w:tcPr>
            <w:tcW w:type="dxa" w:w="48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center"/>
            </w:pPr>
            <w:r>
              <w:rPr>
                <w:rFonts w:ascii="Arial" w:cs="Arial" w:eastAsia="Arial" w:hAnsi="Arial"/>
                <w:b/>
                <w:bCs/>
                <w:i w:val="false"/>
                <w:iCs w:val="false"/>
                <w:color w:val="1A3A5C"/>
                <w:sz w:val="20"/>
                <w:szCs w:val="20"/>
              </w:rPr>
              <w:t xml:space="preserve">5</w:t>
            </w:r>
          </w:p>
        </w:tc>
        <w:tc>
          <w:tcPr>
            <w:tcW w:type="dxa" w:w="23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1A1A1A"/>
                <w:sz w:val="20"/>
                <w:szCs w:val="20"/>
              </w:rPr>
              <w:t xml:space="preserve">Git Repository Integration</w:t>
            </w:r>
          </w:p>
        </w:tc>
        <w:tc>
          <w:tcPr>
            <w:tcW w:type="dxa" w:w="37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Allow candidates to connect their GitHub or GitLab profile to their EcoSkiller profile — giving recruiters direct access to rea...</w:t>
            </w:r>
          </w:p>
        </w:tc>
        <w:tc>
          <w:tcPr>
            <w:tcW w:type="dxa" w:w="27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555555"/>
                <w:sz w:val="18"/>
                <w:szCs w:val="18"/>
              </w:rPr>
              <w:t xml:space="preserve">GitHub/GitLab OAuth integration — contribution heatmap, pinned repos, streak</w:t>
            </w:r>
          </w:p>
        </w:tc>
      </w:tr>
      <w:tr>
        <w:tc>
          <w:tcPr>
            <w:tcW w:type="dxa" w:w="48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center"/>
            </w:pPr>
            <w:r>
              <w:rPr>
                <w:rFonts w:ascii="Arial" w:cs="Arial" w:eastAsia="Arial" w:hAnsi="Arial"/>
                <w:b/>
                <w:bCs/>
                <w:i w:val="false"/>
                <w:iCs w:val="false"/>
                <w:color w:val="1A3A5C"/>
                <w:sz w:val="20"/>
                <w:szCs w:val="20"/>
              </w:rPr>
              <w:t xml:space="preserve">6</w:t>
            </w:r>
          </w:p>
        </w:tc>
        <w:tc>
          <w:tcPr>
            <w:tcW w:type="dxa" w:w="236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1A1A1A"/>
                <w:sz w:val="20"/>
                <w:szCs w:val="20"/>
              </w:rPr>
              <w:t xml:space="preserve">Certification Verification</w:t>
            </w:r>
          </w:p>
        </w:tc>
        <w:tc>
          <w:tcPr>
            <w:tcW w:type="dxa" w:w="376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Provide recruiters with a verified, single-source view of all certificates a candidate holds — both platform-issued and externa...</w:t>
            </w:r>
          </w:p>
        </w:tc>
        <w:tc>
          <w:tcPr>
            <w:tcW w:type="dxa" w:w="276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555555"/>
                <w:sz w:val="18"/>
                <w:szCs w:val="18"/>
              </w:rPr>
              <w:t xml:space="preserve">Trust-tiered certificate display — daily URL verification, flag discrepancy</w:t>
            </w:r>
          </w:p>
        </w:tc>
      </w:tr>
      <w:tr>
        <w:tc>
          <w:tcPr>
            <w:tcW w:type="dxa" w:w="48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center"/>
            </w:pPr>
            <w:r>
              <w:rPr>
                <w:rFonts w:ascii="Arial" w:cs="Arial" w:eastAsia="Arial" w:hAnsi="Arial"/>
                <w:b/>
                <w:bCs/>
                <w:i w:val="false"/>
                <w:iCs w:val="false"/>
                <w:color w:val="1A3A5C"/>
                <w:sz w:val="20"/>
                <w:szCs w:val="20"/>
              </w:rPr>
              <w:t xml:space="preserve">7</w:t>
            </w:r>
          </w:p>
        </w:tc>
        <w:tc>
          <w:tcPr>
            <w:tcW w:type="dxa" w:w="23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1A1A1A"/>
                <w:sz w:val="20"/>
                <w:szCs w:val="20"/>
              </w:rPr>
              <w:t xml:space="preserve">Competition Achievements</w:t>
            </w:r>
          </w:p>
        </w:tc>
        <w:tc>
          <w:tcPr>
            <w:tcW w:type="dxa" w:w="37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Surface a candidate's performance in academic and professional competitions — providing recruiters with evidence of validated, ...</w:t>
            </w:r>
          </w:p>
        </w:tc>
        <w:tc>
          <w:tcPr>
            <w:tcW w:type="dxa" w:w="27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555555"/>
                <w:sz w:val="18"/>
                <w:szCs w:val="18"/>
              </w:rPr>
              <w:t xml:space="preserve">Competition achievement cards — platform-verified rank, participant pool, CPI</w:t>
            </w:r>
          </w:p>
        </w:tc>
      </w:tr>
      <w:tr>
        <w:tc>
          <w:tcPr>
            <w:tcW w:type="dxa" w:w="48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center"/>
            </w:pPr>
            <w:r>
              <w:rPr>
                <w:rFonts w:ascii="Arial" w:cs="Arial" w:eastAsia="Arial" w:hAnsi="Arial"/>
                <w:b/>
                <w:bCs/>
                <w:i w:val="false"/>
                <w:iCs w:val="false"/>
                <w:color w:val="1A3A5C"/>
                <w:sz w:val="20"/>
                <w:szCs w:val="20"/>
              </w:rPr>
              <w:t xml:space="preserve">8</w:t>
            </w:r>
          </w:p>
        </w:tc>
        <w:tc>
          <w:tcPr>
            <w:tcW w:type="dxa" w:w="236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1A1A1A"/>
                <w:sz w:val="20"/>
                <w:szCs w:val="20"/>
              </w:rPr>
              <w:t xml:space="preserve">Hackathon Participation Records</w:t>
            </w:r>
          </w:p>
        </w:tc>
        <w:tc>
          <w:tcPr>
            <w:tcW w:type="dxa" w:w="376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Document a candidate's hackathon history with sufficient detail that recruiters can evaluate not just that they participated, b...</w:t>
            </w:r>
          </w:p>
        </w:tc>
        <w:tc>
          <w:tcPr>
            <w:tcW w:type="dxa" w:w="276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555555"/>
                <w:sz w:val="18"/>
                <w:szCs w:val="18"/>
              </w:rPr>
              <w:t xml:space="preserve">Hackathon records with team roles, solution descriptions, tech stacks</w:t>
            </w:r>
          </w:p>
        </w:tc>
      </w:tr>
      <w:tr>
        <w:tc>
          <w:tcPr>
            <w:tcW w:type="dxa" w:w="48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center"/>
            </w:pPr>
            <w:r>
              <w:rPr>
                <w:rFonts w:ascii="Arial" w:cs="Arial" w:eastAsia="Arial" w:hAnsi="Arial"/>
                <w:b/>
                <w:bCs/>
                <w:i w:val="false"/>
                <w:iCs w:val="false"/>
                <w:color w:val="1A3A5C"/>
                <w:sz w:val="20"/>
                <w:szCs w:val="20"/>
              </w:rPr>
              <w:t xml:space="preserve">9</w:t>
            </w:r>
          </w:p>
        </w:tc>
        <w:tc>
          <w:tcPr>
            <w:tcW w:type="dxa" w:w="23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1A1A1A"/>
                <w:sz w:val="20"/>
                <w:szCs w:val="20"/>
              </w:rPr>
              <w:t xml:space="preserve">Internship Experience Details</w:t>
            </w:r>
          </w:p>
        </w:tc>
        <w:tc>
          <w:tcPr>
            <w:tcW w:type="dxa" w:w="37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Document a candidate's internship history with the depth and verification that standard CV entries lack — giving recruiters ver...</w:t>
            </w:r>
          </w:p>
        </w:tc>
        <w:tc>
          <w:tcPr>
            <w:tcW w:type="dxa" w:w="27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555555"/>
                <w:sz w:val="18"/>
                <w:szCs w:val="18"/>
              </w:rPr>
              <w:t xml:space="preserve">Structured internship records — EcoSkiller-verified, supervisor endorsement</w:t>
            </w:r>
          </w:p>
        </w:tc>
      </w:tr>
      <w:tr>
        <w:tc>
          <w:tcPr>
            <w:tcW w:type="dxa" w:w="48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center"/>
            </w:pPr>
            <w:r>
              <w:rPr>
                <w:rFonts w:ascii="Arial" w:cs="Arial" w:eastAsia="Arial" w:hAnsi="Arial"/>
                <w:b/>
                <w:bCs/>
                <w:i w:val="false"/>
                <w:iCs w:val="false"/>
                <w:color w:val="1A3A5C"/>
                <w:sz w:val="20"/>
                <w:szCs w:val="20"/>
              </w:rPr>
              <w:t xml:space="preserve">10</w:t>
            </w:r>
          </w:p>
        </w:tc>
        <w:tc>
          <w:tcPr>
            <w:tcW w:type="dxa" w:w="236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1A1A1A"/>
                <w:sz w:val="20"/>
                <w:szCs w:val="20"/>
              </w:rPr>
              <w:t xml:space="preserve">Learning Journey Timeline</w:t>
            </w:r>
          </w:p>
        </w:tc>
        <w:tc>
          <w:tcPr>
            <w:tcW w:type="dxa" w:w="376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Show recruiters the complete, chronological history of a candidate's learning and development activity on the platform — creati...</w:t>
            </w:r>
          </w:p>
        </w:tc>
        <w:tc>
          <w:tcPr>
            <w:tcW w:type="dxa" w:w="276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555555"/>
                <w:sz w:val="18"/>
                <w:szCs w:val="18"/>
              </w:rPr>
              <w:t xml:space="preserve">8-month chronological learning timeline — consistency score, activity density</w:t>
            </w:r>
          </w:p>
        </w:tc>
      </w:tr>
      <w:tr>
        <w:tc>
          <w:tcPr>
            <w:tcW w:type="dxa" w:w="48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center"/>
            </w:pPr>
            <w:r>
              <w:rPr>
                <w:rFonts w:ascii="Arial" w:cs="Arial" w:eastAsia="Arial" w:hAnsi="Arial"/>
                <w:b/>
                <w:bCs/>
                <w:i w:val="false"/>
                <w:iCs w:val="false"/>
                <w:color w:val="1A3A5C"/>
                <w:sz w:val="20"/>
                <w:szCs w:val="20"/>
              </w:rPr>
              <w:t xml:space="preserve">11</w:t>
            </w:r>
          </w:p>
        </w:tc>
        <w:tc>
          <w:tcPr>
            <w:tcW w:type="dxa" w:w="23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1A1A1A"/>
                <w:sz w:val="20"/>
                <w:szCs w:val="20"/>
              </w:rPr>
              <w:t xml:space="preserve">Skill Growth Analytics</w:t>
            </w:r>
          </w:p>
        </w:tc>
        <w:tc>
          <w:tcPr>
            <w:tcW w:type="dxa" w:w="37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Quantify and visualise the rate at which a candidate's skills have developed over their platform history — giving recruiters ev...</w:t>
            </w:r>
          </w:p>
        </w:tc>
        <w:tc>
          <w:tcPr>
            <w:tcW w:type="dxa" w:w="27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555555"/>
                <w:sz w:val="18"/>
                <w:szCs w:val="18"/>
              </w:rPr>
              <w:t xml:space="preserve">5-metric skill growth suite — acquisition rate, velocity score, gap closure</w:t>
            </w:r>
          </w:p>
        </w:tc>
      </w:tr>
      <w:tr>
        <w:tc>
          <w:tcPr>
            <w:tcW w:type="dxa" w:w="48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center"/>
            </w:pPr>
            <w:r>
              <w:rPr>
                <w:rFonts w:ascii="Arial" w:cs="Arial" w:eastAsia="Arial" w:hAnsi="Arial"/>
                <w:b/>
                <w:bCs/>
                <w:i w:val="false"/>
                <w:iCs w:val="false"/>
                <w:color w:val="1A3A5C"/>
                <w:sz w:val="20"/>
                <w:szCs w:val="20"/>
              </w:rPr>
              <w:t xml:space="preserve">12</w:t>
            </w:r>
          </w:p>
        </w:tc>
        <w:tc>
          <w:tcPr>
            <w:tcW w:type="dxa" w:w="236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1A1A1A"/>
                <w:sz w:val="20"/>
                <w:szCs w:val="20"/>
              </w:rPr>
              <w:t xml:space="preserve">Career Readiness Index</w:t>
            </w:r>
          </w:p>
        </w:tc>
        <w:tc>
          <w:tcPr>
            <w:tcW w:type="dxa" w:w="376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Synthesise all of a candidate's platform data — skills, projects, GD scores, mentor assessments, certifications, and activity p...</w:t>
            </w:r>
          </w:p>
        </w:tc>
        <w:tc>
          <w:tcPr>
            <w:tcW w:type="dxa" w:w="276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555555"/>
                <w:sz w:val="18"/>
                <w:szCs w:val="18"/>
              </w:rPr>
              <w:t xml:space="preserve">Composite CRI (6 components, weekly recalculation, trend arrow, pipeline sort)</w:t>
            </w:r>
          </w:p>
        </w:tc>
      </w:tr>
    </w:tbl>
    <w:p>
      <w:pPr>
        <w:spacing w:before="400" w:after="0"/>
      </w:pPr>
    </w:p>
    <w:p>
      <w:pPr>
        <w:pageBreakBefore/>
        <w:spacing w:before="0" w:after="0"/>
      </w:pPr>
    </w:p>
    <w:p>
      <w:pPr>
        <w:pBdr>
          <w:bottom w:val="single" w:color="0D1B2A" w:sz="6" w:space="2"/>
        </w:pBdr>
        <w:spacing w:before="200" w:after="120"/>
      </w:pPr>
      <w:r>
        <w:rPr>
          <w:rFonts w:ascii="Arial" w:cs="Arial" w:eastAsia="Arial" w:hAnsi="Arial"/>
          <w:b/>
          <w:bCs/>
          <w:color w:val="0D1B2A"/>
          <w:sz w:val="26"/>
          <w:szCs w:val="26"/>
        </w:rPr>
        <w:t xml:space="preserve">Profile Architecture — 4 Evidence Layers + Career Readiness Index</w:t>
      </w:r>
    </w:p>
    <w:p>
      <w:pPr>
        <w:spacing w:before="80" w:after="160" w:line="280"/>
        <w:jc w:val="left"/>
      </w:pPr>
      <w:r>
        <w:rPr>
          <w:rFonts w:ascii="Arial" w:cs="Arial" w:eastAsia="Arial" w:hAnsi="Arial"/>
          <w:b w:val="false"/>
          <w:bCs w:val="false"/>
          <w:i/>
          <w:iCs/>
          <w:color w:val="555555"/>
          <w:sz w:val="22"/>
          <w:szCs w:val="22"/>
        </w:rPr>
        <w:t xml:space="preserve">The 12 features of Section 10 are organised across 4 evidence layers, each answering a different question about the candidate's professional capability. All four layers feed into the Career Readiness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600"/>
        <w:gridCol w:w="3560"/>
      </w:tblGrid>
      <w:tr>
        <w:trPr>
          <w:tblHeader/>
        </w:trPr>
        <w:tc>
          <w:tcPr>
            <w:tcW w:type="dxa" w:w="1600"/>
            <w:gridSpan w:val="1"/>
            <w:tcBorders>
              <w:top w:val="single" w:color="C5D4E8" w:sz="4"/>
              <w:left w:val="single" w:color="C5D4E8" w:sz="4"/>
              <w:bottom w:val="single" w:color="C5D4E8" w:sz="4"/>
              <w:right w:val="single" w:color="C5D4E8" w:sz="4"/>
            </w:tcBorders>
            <w:shd w:fill="0D1B2A"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Layer</w:t>
            </w:r>
          </w:p>
        </w:tc>
        <w:tc>
          <w:tcPr>
            <w:tcW w:type="dxa" w:w="2600"/>
            <w:gridSpan w:val="1"/>
            <w:tcBorders>
              <w:top w:val="single" w:color="C5D4E8" w:sz="4"/>
              <w:left w:val="single" w:color="C5D4E8" w:sz="4"/>
              <w:bottom w:val="single" w:color="C5D4E8" w:sz="4"/>
              <w:right w:val="single" w:color="C5D4E8" w:sz="4"/>
            </w:tcBorders>
            <w:shd w:fill="0D1B2A"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Features</w:t>
            </w:r>
          </w:p>
        </w:tc>
        <w:tc>
          <w:tcPr>
            <w:tcW w:type="dxa" w:w="1600"/>
            <w:gridSpan w:val="1"/>
            <w:tcBorders>
              <w:top w:val="single" w:color="C5D4E8" w:sz="4"/>
              <w:left w:val="single" w:color="C5D4E8" w:sz="4"/>
              <w:bottom w:val="single" w:color="C5D4E8" w:sz="4"/>
              <w:right w:val="single" w:color="C5D4E8" w:sz="4"/>
            </w:tcBorders>
            <w:shd w:fill="0D1B2A"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Question Answered</w:t>
            </w:r>
          </w:p>
        </w:tc>
        <w:tc>
          <w:tcPr>
            <w:tcW w:type="dxa" w:w="3560"/>
            <w:gridSpan w:val="1"/>
            <w:tcBorders>
              <w:top w:val="single" w:color="C5D4E8" w:sz="4"/>
              <w:left w:val="single" w:color="C5D4E8" w:sz="4"/>
              <w:bottom w:val="single" w:color="C5D4E8" w:sz="4"/>
              <w:right w:val="single" w:color="C5D4E8" w:sz="4"/>
            </w:tcBorders>
            <w:shd w:fill="0D1B2A"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Trust Mechanism</w:t>
            </w:r>
          </w:p>
        </w:tc>
      </w:tr>
      <w:tr>
        <w:tc>
          <w:tcPr>
            <w:tcW w:type="dxa" w:w="1600"/>
            <w:gridSpan w:val="1"/>
            <w:tcBorders>
              <w:top w:val="single" w:color="C5D4E8" w:sz="4"/>
              <w:left w:val="single" w:color="C5D4E8" w:sz="4"/>
              <w:bottom w:val="single" w:color="C5D4E8" w:sz="4"/>
              <w:right w:val="single" w:color="C5D4E8" w:sz="4"/>
            </w:tcBorders>
            <w:shd w:fill="006D77"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18"/>
                <w:szCs w:val="18"/>
              </w:rPr>
              <w:t xml:space="preserve">Skills Layer</w:t>
            </w:r>
          </w:p>
        </w:tc>
        <w:tc>
          <w:tcPr>
            <w:tcW w:type="dxa" w:w="260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1A1A1A"/>
                <w:sz w:val="18"/>
                <w:szCs w:val="18"/>
              </w:rPr>
              <w:t xml:space="preserve">10.1 Skill Passport
10.2 Skill Proficiency Levels</w:t>
            </w:r>
          </w:p>
        </w:tc>
        <w:tc>
          <w:tcPr>
            <w:tcW w:type="dxa" w:w="160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iCs/>
                <w:color w:val="555555"/>
                <w:sz w:val="18"/>
                <w:szCs w:val="18"/>
              </w:rPr>
              <w:t xml:space="preserve">What does this candidate know — and how deeply?</w:t>
            </w:r>
          </w:p>
        </w:tc>
        <w:tc>
          <w:tcPr>
            <w:tcW w:type="dxa" w:w="35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18"/>
                <w:szCs w:val="18"/>
              </w:rPr>
              <w:t xml:space="preserve">Platform-certified &gt; Mentor-endorsed &gt; Self-declared tiers. Evidence chain per skill.</w:t>
            </w:r>
          </w:p>
        </w:tc>
      </w:tr>
      <w:tr>
        <w:tc>
          <w:tcPr>
            <w:tcW w:type="dxa" w:w="1600"/>
            <w:gridSpan w:val="1"/>
            <w:tcBorders>
              <w:top w:val="single" w:color="C5D4E8" w:sz="4"/>
              <w:left w:val="single" w:color="C5D4E8" w:sz="4"/>
              <w:bottom w:val="single" w:color="C5D4E8" w:sz="4"/>
              <w:right w:val="single" w:color="C5D4E8" w:sz="4"/>
            </w:tcBorders>
            <w:shd w:fill="006D77"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18"/>
                <w:szCs w:val="18"/>
              </w:rPr>
              <w:t xml:space="preserve">Portfolio Layer</w:t>
            </w:r>
          </w:p>
        </w:tc>
        <w:tc>
          <w:tcPr>
            <w:tcW w:type="dxa" w:w="260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1A1A1A"/>
                <w:sz w:val="18"/>
                <w:szCs w:val="18"/>
              </w:rPr>
              <w:t xml:space="preserve">10.3 Project Viewer
10.4 Live Project Demos
10.5 Git Integration</w:t>
            </w:r>
          </w:p>
        </w:tc>
        <w:tc>
          <w:tcPr>
            <w:tcW w:type="dxa" w:w="160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iCs/>
                <w:color w:val="555555"/>
                <w:sz w:val="18"/>
                <w:szCs w:val="18"/>
              </w:rPr>
              <w:t xml:space="preserve">What has this candidate built — and how good is it?</w:t>
            </w:r>
          </w:p>
        </w:tc>
        <w:tc>
          <w:tcPr>
            <w:tcW w:type="dxa" w:w="356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18"/>
                <w:szCs w:val="18"/>
              </w:rPr>
              <w:t xml:space="preserve">Company rating on Marketplace projects. Live interactive demos. Public code history.</w:t>
            </w:r>
          </w:p>
        </w:tc>
      </w:tr>
      <w:tr>
        <w:tc>
          <w:tcPr>
            <w:tcW w:type="dxa" w:w="1600"/>
            <w:gridSpan w:val="1"/>
            <w:tcBorders>
              <w:top w:val="single" w:color="C5D4E8" w:sz="4"/>
              <w:left w:val="single" w:color="C5D4E8" w:sz="4"/>
              <w:bottom w:val="single" w:color="C5D4E8" w:sz="4"/>
              <w:right w:val="single" w:color="C5D4E8" w:sz="4"/>
            </w:tcBorders>
            <w:shd w:fill="006D77"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18"/>
                <w:szCs w:val="18"/>
              </w:rPr>
              <w:t xml:space="preserve">Credential Layer</w:t>
            </w:r>
          </w:p>
        </w:tc>
        <w:tc>
          <w:tcPr>
            <w:tcW w:type="dxa" w:w="260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1A1A1A"/>
                <w:sz w:val="18"/>
                <w:szCs w:val="18"/>
              </w:rPr>
              <w:t xml:space="preserve">10.6 Certification Verification
10.7 Competition Achievements
10.8 Hackathon Records</w:t>
            </w:r>
          </w:p>
        </w:tc>
        <w:tc>
          <w:tcPr>
            <w:tcW w:type="dxa" w:w="160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iCs/>
                <w:color w:val="555555"/>
                <w:sz w:val="18"/>
                <w:szCs w:val="18"/>
              </w:rPr>
              <w:t xml:space="preserve">How has this candidate been recognised externally?</w:t>
            </w:r>
          </w:p>
        </w:tc>
        <w:tc>
          <w:tcPr>
            <w:tcW w:type="dxa" w:w="35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18"/>
                <w:szCs w:val="18"/>
              </w:rPr>
              <w:t xml:space="preserve">Daily URL verification. Platform-verified tournament results. Peer team confirmation.</w:t>
            </w:r>
          </w:p>
        </w:tc>
      </w:tr>
      <w:tr>
        <w:tc>
          <w:tcPr>
            <w:tcW w:type="dxa" w:w="1600"/>
            <w:gridSpan w:val="1"/>
            <w:tcBorders>
              <w:top w:val="single" w:color="C5D4E8" w:sz="4"/>
              <w:left w:val="single" w:color="C5D4E8" w:sz="4"/>
              <w:bottom w:val="single" w:color="C5D4E8" w:sz="4"/>
              <w:right w:val="single" w:color="C5D4E8" w:sz="4"/>
            </w:tcBorders>
            <w:shd w:fill="006D77"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18"/>
                <w:szCs w:val="18"/>
              </w:rPr>
              <w:t xml:space="preserve">Experience Layer</w:t>
            </w:r>
          </w:p>
        </w:tc>
        <w:tc>
          <w:tcPr>
            <w:tcW w:type="dxa" w:w="260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1A1A1A"/>
                <w:sz w:val="18"/>
                <w:szCs w:val="18"/>
              </w:rPr>
              <w:t xml:space="preserve">10.9 Internship Experience</w:t>
            </w:r>
          </w:p>
        </w:tc>
        <w:tc>
          <w:tcPr>
            <w:tcW w:type="dxa" w:w="160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iCs/>
                <w:color w:val="555555"/>
                <w:sz w:val="18"/>
                <w:szCs w:val="18"/>
              </w:rPr>
              <w:t xml:space="preserve">What professional work has this candidate already done?</w:t>
            </w:r>
          </w:p>
        </w:tc>
        <w:tc>
          <w:tcPr>
            <w:tcW w:type="dxa" w:w="356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18"/>
                <w:szCs w:val="18"/>
              </w:rPr>
              <w:t xml:space="preserve">EcoSkiller client confirmation. External experience letters. Supervisor endorsements.</w:t>
            </w:r>
          </w:p>
        </w:tc>
      </w:tr>
      <w:tr>
        <w:tc>
          <w:tcPr>
            <w:tcW w:type="dxa" w:w="1600"/>
            <w:gridSpan w:val="1"/>
            <w:tcBorders>
              <w:top w:val="single" w:color="C5D4E8" w:sz="4"/>
              <w:left w:val="single" w:color="C5D4E8" w:sz="4"/>
              <w:bottom w:val="single" w:color="C5D4E8" w:sz="4"/>
              <w:right w:val="single" w:color="C5D4E8" w:sz="4"/>
            </w:tcBorders>
            <w:shd w:fill="006D77"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18"/>
                <w:szCs w:val="18"/>
              </w:rPr>
              <w:t xml:space="preserve">Development Layer</w:t>
            </w:r>
          </w:p>
        </w:tc>
        <w:tc>
          <w:tcPr>
            <w:tcW w:type="dxa" w:w="260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1A1A1A"/>
                <w:sz w:val="18"/>
                <w:szCs w:val="18"/>
              </w:rPr>
              <w:t xml:space="preserve">10.10 Learning Timeline
10.11 Skill Growth Analytics</w:t>
            </w:r>
          </w:p>
        </w:tc>
        <w:tc>
          <w:tcPr>
            <w:tcW w:type="dxa" w:w="160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iCs/>
                <w:color w:val="555555"/>
                <w:sz w:val="18"/>
                <w:szCs w:val="18"/>
              </w:rPr>
              <w:t xml:space="preserve">How consistently is this candidate developing — and how fast?</w:t>
            </w:r>
          </w:p>
        </w:tc>
        <w:tc>
          <w:tcPr>
            <w:tcW w:type="dxa" w:w="35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18"/>
                <w:szCs w:val="18"/>
              </w:rPr>
              <w:t xml:space="preserve">Platform-recorded activity (not self-reported). Consistency score. Velocity vs peer cohort.</w:t>
            </w:r>
          </w:p>
        </w:tc>
      </w:tr>
      <w:tr>
        <w:tc>
          <w:tcPr>
            <w:tcW w:type="dxa" w:w="1600"/>
            <w:gridSpan w:val="1"/>
            <w:tcBorders>
              <w:top w:val="single" w:color="C5D4E8" w:sz="4"/>
              <w:left w:val="single" w:color="C5D4E8" w:sz="4"/>
              <w:bottom w:val="single" w:color="C5D4E8" w:sz="4"/>
              <w:right w:val="single" w:color="C5D4E8" w:sz="4"/>
            </w:tcBorders>
            <w:shd w:fill="006D77"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18"/>
                <w:szCs w:val="18"/>
              </w:rPr>
              <w:t xml:space="preserve">Synthesis</w:t>
            </w:r>
          </w:p>
        </w:tc>
        <w:tc>
          <w:tcPr>
            <w:tcW w:type="dxa" w:w="260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1A1A1A"/>
                <w:sz w:val="18"/>
                <w:szCs w:val="18"/>
              </w:rPr>
              <w:t xml:space="preserve">10.12 Career Readiness Index</w:t>
            </w:r>
          </w:p>
        </w:tc>
        <w:tc>
          <w:tcPr>
            <w:tcW w:type="dxa" w:w="160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iCs/>
                <w:color w:val="555555"/>
                <w:sz w:val="18"/>
                <w:szCs w:val="18"/>
              </w:rPr>
              <w:t xml:space="preserve">How ready is this candidate overall — right now?</w:t>
            </w:r>
          </w:p>
        </w:tc>
        <w:tc>
          <w:tcPr>
            <w:tcW w:type="dxa" w:w="356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18"/>
                <w:szCs w:val="18"/>
              </w:rPr>
              <w:t xml:space="preserve">6 weighted components. Weekly recalculation. Trend direction. Pipeline sort.</w:t>
            </w:r>
          </w:p>
        </w:tc>
      </w:tr>
    </w:tbl>
    <w:p>
      <w:pPr>
        <w:spacing w:before="400" w:after="0"/>
      </w:pPr>
    </w:p>
    <w:p>
      <w:pPr>
        <w:pBdr>
          <w:bottom w:val="single" w:color="0D1B2A" w:sz="6" w:space="2"/>
        </w:pBdr>
        <w:spacing w:before="300" w:after="120"/>
      </w:pPr>
      <w:r>
        <w:rPr>
          <w:rFonts w:ascii="Arial" w:cs="Arial" w:eastAsia="Arial" w:hAnsi="Arial"/>
          <w:b/>
          <w:bCs/>
          <w:color w:val="0D1B2A"/>
          <w:sz w:val="26"/>
          <w:szCs w:val="26"/>
        </w:rPr>
        <w:t xml:space="preserve">Career Readiness Index — Component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680"/>
        <w:gridCol w:w="2280"/>
        <w:gridCol w:w="2280"/>
        <w:gridCol w:w="2120"/>
      </w:tblGrid>
      <w:tr>
        <w:trPr>
          <w:tblHeader/>
        </w:trPr>
        <w:tc>
          <w:tcPr>
            <w:tcW w:type="dxa" w:w="2000"/>
            <w:gridSpan w:val="1"/>
            <w:tcBorders>
              <w:top w:val="single" w:color="C5D4E8" w:sz="4"/>
              <w:left w:val="single" w:color="C5D4E8" w:sz="4"/>
              <w:bottom w:val="single" w:color="C5D4E8" w:sz="4"/>
              <w:right w:val="single" w:color="C5D4E8" w:sz="4"/>
            </w:tcBorders>
            <w:shd w:fill="0D1B2A"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Component</w:t>
            </w:r>
          </w:p>
        </w:tc>
        <w:tc>
          <w:tcPr>
            <w:tcW w:type="dxa" w:w="680"/>
            <w:gridSpan w:val="1"/>
            <w:tcBorders>
              <w:top w:val="single" w:color="C5D4E8" w:sz="4"/>
              <w:left w:val="single" w:color="C5D4E8" w:sz="4"/>
              <w:bottom w:val="single" w:color="C5D4E8" w:sz="4"/>
              <w:right w:val="single" w:color="C5D4E8" w:sz="4"/>
            </w:tcBorders>
            <w:shd w:fill="0D1B2A" w:val="clear"/>
            <w:tcMar>
              <w:top w:type="dxa" w:w="110"/>
              <w:left w:type="dxa" w:w="170"/>
              <w:bottom w:type="dxa" w:w="110"/>
              <w:right w:type="dxa" w:w="170"/>
            </w:tcMar>
            <w:vAlign w:val="center"/>
          </w:tcPr>
          <w:p>
            <w:pPr>
              <w:spacing w:before="40" w:after="40"/>
              <w:jc w:val="center"/>
            </w:pPr>
            <w:r>
              <w:rPr>
                <w:rFonts w:ascii="Arial" w:cs="Arial" w:eastAsia="Arial" w:hAnsi="Arial"/>
                <w:b/>
                <w:bCs/>
                <w:i w:val="false"/>
                <w:iCs w:val="false"/>
                <w:color w:val="FFFFFF"/>
                <w:sz w:val="20"/>
                <w:szCs w:val="20"/>
              </w:rPr>
              <w:t xml:space="preserve">Weight</w:t>
            </w:r>
          </w:p>
        </w:tc>
        <w:tc>
          <w:tcPr>
            <w:tcW w:type="dxa" w:w="2280"/>
            <w:gridSpan w:val="1"/>
            <w:tcBorders>
              <w:top w:val="single" w:color="C5D4E8" w:sz="4"/>
              <w:left w:val="single" w:color="C5D4E8" w:sz="4"/>
              <w:bottom w:val="single" w:color="C5D4E8" w:sz="4"/>
              <w:right w:val="single" w:color="C5D4E8" w:sz="4"/>
            </w:tcBorders>
            <w:shd w:fill="0D1B2A"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What It Measures</w:t>
            </w:r>
          </w:p>
        </w:tc>
        <w:tc>
          <w:tcPr>
            <w:tcW w:type="dxa" w:w="2280"/>
            <w:gridSpan w:val="1"/>
            <w:tcBorders>
              <w:top w:val="single" w:color="C5D4E8" w:sz="4"/>
              <w:left w:val="single" w:color="C5D4E8" w:sz="4"/>
              <w:bottom w:val="single" w:color="C5D4E8" w:sz="4"/>
              <w:right w:val="single" w:color="C5D4E8" w:sz="4"/>
            </w:tcBorders>
            <w:shd w:fill="0D1B2A"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Data Source</w:t>
            </w:r>
          </w:p>
        </w:tc>
        <w:tc>
          <w:tcPr>
            <w:tcW w:type="dxa" w:w="2120"/>
            <w:gridSpan w:val="1"/>
            <w:tcBorders>
              <w:top w:val="single" w:color="C5D4E8" w:sz="4"/>
              <w:left w:val="single" w:color="C5D4E8" w:sz="4"/>
              <w:bottom w:val="single" w:color="C5D4E8" w:sz="4"/>
              <w:right w:val="single" w:color="C5D4E8" w:sz="4"/>
            </w:tcBorders>
            <w:shd w:fill="0D1B2A"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How to Improve</w:t>
            </w:r>
          </w:p>
        </w:tc>
      </w:tr>
      <w:tr>
        <w:tc>
          <w:tcPr>
            <w:tcW w:type="dxa" w:w="200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1A1A1A"/>
                <w:sz w:val="20"/>
                <w:szCs w:val="20"/>
              </w:rPr>
              <w:t xml:space="preserve">Skill Verification Score</w:t>
            </w:r>
          </w:p>
        </w:tc>
        <w:tc>
          <w:tcPr>
            <w:tcW w:type="dxa" w:w="68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center"/>
            </w:pPr>
            <w:r>
              <w:rPr>
                <w:rFonts w:ascii="Arial" w:cs="Arial" w:eastAsia="Arial" w:hAnsi="Arial"/>
                <w:b/>
                <w:bCs/>
                <w:i w:val="false"/>
                <w:iCs w:val="false"/>
                <w:color w:val="006D77"/>
                <w:sz w:val="20"/>
                <w:szCs w:val="20"/>
              </w:rPr>
              <w:t xml:space="preserve">25%</w:t>
            </w:r>
          </w:p>
        </w:tc>
        <w:tc>
          <w:tcPr>
            <w:tcW w:type="dxa" w:w="228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18"/>
                <w:szCs w:val="18"/>
              </w:rPr>
              <w:t xml:space="preserve">Depth and verification tier of top 10 skills — certified and endorsed skills weighted above self-declared</w:t>
            </w:r>
          </w:p>
        </w:tc>
        <w:tc>
          <w:tcPr>
            <w:tcW w:type="dxa" w:w="228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555555"/>
                <w:sz w:val="18"/>
                <w:szCs w:val="18"/>
              </w:rPr>
              <w:t xml:space="preserve">LMS completions, mentor endorsements (Feature 10.1–10.2)</w:t>
            </w:r>
          </w:p>
        </w:tc>
        <w:tc>
          <w:tcPr>
            <w:tcW w:type="dxa" w:w="212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18"/>
                <w:szCs w:val="18"/>
              </w:rPr>
              <w:t xml:space="preserve">Complete LMS advanced modules; request mentor endorsements for applied skills</w:t>
            </w:r>
          </w:p>
        </w:tc>
      </w:tr>
      <w:tr>
        <w:tc>
          <w:tcPr>
            <w:tcW w:type="dxa" w:w="200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1A1A1A"/>
                <w:sz w:val="20"/>
                <w:szCs w:val="20"/>
              </w:rPr>
              <w:t xml:space="preserve">Project Quality Score</w:t>
            </w:r>
          </w:p>
        </w:tc>
        <w:tc>
          <w:tcPr>
            <w:tcW w:type="dxa" w:w="68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center"/>
            </w:pPr>
            <w:r>
              <w:rPr>
                <w:rFonts w:ascii="Arial" w:cs="Arial" w:eastAsia="Arial" w:hAnsi="Arial"/>
                <w:b/>
                <w:bCs/>
                <w:i w:val="false"/>
                <w:iCs w:val="false"/>
                <w:color w:val="006D77"/>
                <w:sz w:val="20"/>
                <w:szCs w:val="20"/>
              </w:rPr>
              <w:t xml:space="preserve">20%</w:t>
            </w:r>
          </w:p>
        </w:tc>
        <w:tc>
          <w:tcPr>
            <w:tcW w:type="dxa" w:w="228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18"/>
                <w:szCs w:val="18"/>
              </w:rPr>
              <w:t xml:space="preserve">Average company rating × completion rate across all Marketplace projects</w:t>
            </w:r>
          </w:p>
        </w:tc>
        <w:tc>
          <w:tcPr>
            <w:tcW w:type="dxa" w:w="228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555555"/>
                <w:sz w:val="18"/>
                <w:szCs w:val="18"/>
              </w:rPr>
              <w:t xml:space="preserve">Company ratings and outcomes from Marketplace (Feature 10.3)</w:t>
            </w:r>
          </w:p>
        </w:tc>
        <w:tc>
          <w:tcPr>
            <w:tcW w:type="dxa" w:w="212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18"/>
                <w:szCs w:val="18"/>
              </w:rPr>
              <w:t xml:space="preserve">Complete more projects; maintain 4+ star quality; submit on time</w:t>
            </w:r>
          </w:p>
        </w:tc>
      </w:tr>
      <w:tr>
        <w:tc>
          <w:tcPr>
            <w:tcW w:type="dxa" w:w="200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1A1A1A"/>
                <w:sz w:val="20"/>
                <w:szCs w:val="20"/>
              </w:rPr>
              <w:t xml:space="preserve">Mentor Endorsement Score</w:t>
            </w:r>
          </w:p>
        </w:tc>
        <w:tc>
          <w:tcPr>
            <w:tcW w:type="dxa" w:w="68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center"/>
            </w:pPr>
            <w:r>
              <w:rPr>
                <w:rFonts w:ascii="Arial" w:cs="Arial" w:eastAsia="Arial" w:hAnsi="Arial"/>
                <w:b/>
                <w:bCs/>
                <w:i w:val="false"/>
                <w:iCs w:val="false"/>
                <w:color w:val="006D77"/>
                <w:sz w:val="20"/>
                <w:szCs w:val="20"/>
              </w:rPr>
              <w:t xml:space="preserve">20%</w:t>
            </w:r>
          </w:p>
        </w:tc>
        <w:tc>
          <w:tcPr>
            <w:tcW w:type="dxa" w:w="228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18"/>
                <w:szCs w:val="18"/>
              </w:rPr>
              <w:t xml:space="preserve">Endorsement levels, mentor Credibility Score weighting, distinct skills endorsed</w:t>
            </w:r>
          </w:p>
        </w:tc>
        <w:tc>
          <w:tcPr>
            <w:tcW w:type="dxa" w:w="228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555555"/>
                <w:sz w:val="18"/>
                <w:szCs w:val="18"/>
              </w:rPr>
              <w:t xml:space="preserve">Mentor Module Section C endorsements — mentor credibility weighted</w:t>
            </w:r>
          </w:p>
        </w:tc>
        <w:tc>
          <w:tcPr>
            <w:tcW w:type="dxa" w:w="212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18"/>
                <w:szCs w:val="18"/>
              </w:rPr>
              <w:t xml:space="preserve">Work with high-credibility mentors; earn Advanced or Expert endorsements</w:t>
            </w:r>
          </w:p>
        </w:tc>
      </w:tr>
      <w:tr>
        <w:tc>
          <w:tcPr>
            <w:tcW w:type="dxa" w:w="200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1A1A1A"/>
                <w:sz w:val="20"/>
                <w:szCs w:val="20"/>
              </w:rPr>
              <w:t xml:space="preserve">GD &amp; Communication Score</w:t>
            </w:r>
          </w:p>
        </w:tc>
        <w:tc>
          <w:tcPr>
            <w:tcW w:type="dxa" w:w="68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center"/>
            </w:pPr>
            <w:r>
              <w:rPr>
                <w:rFonts w:ascii="Arial" w:cs="Arial" w:eastAsia="Arial" w:hAnsi="Arial"/>
                <w:b/>
                <w:bCs/>
                <w:i w:val="false"/>
                <w:iCs w:val="false"/>
                <w:color w:val="006D77"/>
                <w:sz w:val="20"/>
                <w:szCs w:val="20"/>
              </w:rPr>
              <w:t xml:space="preserve">15%</w:t>
            </w:r>
          </w:p>
        </w:tc>
        <w:tc>
          <w:tcPr>
            <w:tcW w:type="dxa" w:w="228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18"/>
                <w:szCs w:val="18"/>
              </w:rPr>
              <w:t xml:space="preserve">Latest GD score, trend direction, GD Readiness Certificate status</w:t>
            </w:r>
          </w:p>
        </w:tc>
        <w:tc>
          <w:tcPr>
            <w:tcW w:type="dxa" w:w="228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555555"/>
                <w:sz w:val="18"/>
                <w:szCs w:val="18"/>
              </w:rPr>
              <w:t xml:space="preserve">GD Module scores and certificate (Mentor Section F)</w:t>
            </w:r>
          </w:p>
        </w:tc>
        <w:tc>
          <w:tcPr>
            <w:tcW w:type="dxa" w:w="212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18"/>
                <w:szCs w:val="18"/>
              </w:rPr>
              <w:t xml:space="preserve">Practice GD sessions; maintain above-60 average; earn GD Readiness Certificate</w:t>
            </w:r>
          </w:p>
        </w:tc>
      </w:tr>
      <w:tr>
        <w:tc>
          <w:tcPr>
            <w:tcW w:type="dxa" w:w="200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1A1A1A"/>
                <w:sz w:val="20"/>
                <w:szCs w:val="20"/>
              </w:rPr>
              <w:t xml:space="preserve">Activity Consistency</w:t>
            </w:r>
          </w:p>
        </w:tc>
        <w:tc>
          <w:tcPr>
            <w:tcW w:type="dxa" w:w="68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center"/>
            </w:pPr>
            <w:r>
              <w:rPr>
                <w:rFonts w:ascii="Arial" w:cs="Arial" w:eastAsia="Arial" w:hAnsi="Arial"/>
                <w:b/>
                <w:bCs/>
                <w:i w:val="false"/>
                <w:iCs w:val="false"/>
                <w:color w:val="006D77"/>
                <w:sz w:val="20"/>
                <w:szCs w:val="20"/>
              </w:rPr>
              <w:t xml:space="preserve">10%</w:t>
            </w:r>
          </w:p>
        </w:tc>
        <w:tc>
          <w:tcPr>
            <w:tcW w:type="dxa" w:w="228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18"/>
                <w:szCs w:val="18"/>
              </w:rPr>
              <w:t xml:space="preserve">Consistency Score from Learning Journey — even distribution of learning vs burst-before-deadline pattern</w:t>
            </w:r>
          </w:p>
        </w:tc>
        <w:tc>
          <w:tcPr>
            <w:tcW w:type="dxa" w:w="228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555555"/>
                <w:sz w:val="18"/>
                <w:szCs w:val="18"/>
              </w:rPr>
              <w:t xml:space="preserve">Platform activity log (Feature 10.10)</w:t>
            </w:r>
          </w:p>
        </w:tc>
        <w:tc>
          <w:tcPr>
            <w:tcW w:type="dxa" w:w="212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18"/>
                <w:szCs w:val="18"/>
              </w:rPr>
              <w:t xml:space="preserve">Maintain daily/weekly platform activity; complete Dojo challenges consistently</w:t>
            </w:r>
          </w:p>
        </w:tc>
      </w:tr>
      <w:tr>
        <w:tc>
          <w:tcPr>
            <w:tcW w:type="dxa" w:w="200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1A1A1A"/>
                <w:sz w:val="20"/>
                <w:szCs w:val="20"/>
              </w:rPr>
              <w:t xml:space="preserve">External Validation</w:t>
            </w:r>
          </w:p>
        </w:tc>
        <w:tc>
          <w:tcPr>
            <w:tcW w:type="dxa" w:w="68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center"/>
            </w:pPr>
            <w:r>
              <w:rPr>
                <w:rFonts w:ascii="Arial" w:cs="Arial" w:eastAsia="Arial" w:hAnsi="Arial"/>
                <w:b/>
                <w:bCs/>
                <w:i w:val="false"/>
                <w:iCs w:val="false"/>
                <w:color w:val="006D77"/>
                <w:sz w:val="20"/>
                <w:szCs w:val="20"/>
              </w:rPr>
              <w:t xml:space="preserve">10%</w:t>
            </w:r>
          </w:p>
        </w:tc>
        <w:tc>
          <w:tcPr>
            <w:tcW w:type="dxa" w:w="228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18"/>
                <w:szCs w:val="18"/>
              </w:rPr>
              <w:t xml:space="preserve">Certifications, competition achievements, hackathon wins, Git activity, internship verification</w:t>
            </w:r>
          </w:p>
        </w:tc>
        <w:tc>
          <w:tcPr>
            <w:tcW w:type="dxa" w:w="228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555555"/>
                <w:sz w:val="18"/>
                <w:szCs w:val="18"/>
              </w:rPr>
              <w:t xml:space="preserve">Features 10.5, 10.6, 10.7, 10.8, 10.9</w:t>
            </w:r>
          </w:p>
        </w:tc>
        <w:tc>
          <w:tcPr>
            <w:tcW w:type="dxa" w:w="2120"/>
            <w:gridSpan w:val="1"/>
            <w:tcBorders>
              <w:top w:val="single" w:color="C5D4E8" w:sz="4"/>
              <w:left w:val="single" w:color="C5D4E8" w:sz="4"/>
              <w:bottom w:val="single" w:color="C5D4E8" w:sz="4"/>
              <w:right w:val="single" w:color="C5D4E8" w:sz="4"/>
            </w:tcBorders>
            <w:shd w:fill="E8EDF3"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18"/>
                <w:szCs w:val="18"/>
              </w:rPr>
              <w:t xml:space="preserve">Add external certifications with verified URLs; participate in competitions; maintain GitHub activity</w:t>
            </w:r>
          </w:p>
        </w:tc>
      </w:tr>
    </w:tbl>
    <w:p>
      <w:pPr>
        <w:spacing w:before="400" w:after="0"/>
      </w:pPr>
    </w:p>
    <w:p>
      <w:pPr>
        <w:pageBreakBefore/>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gridSpan w:val="1"/>
            <w:tcBorders>
              <w:top w:val="single" w:color="C5D4E8" w:sz="4"/>
              <w:left w:val="single" w:color="C5D4E8" w:sz="4"/>
              <w:bottom w:val="single" w:color="C5D4E8" w:sz="4"/>
              <w:right w:val="single" w:color="C5D4E8" w:sz="4"/>
            </w:tcBorders>
            <w:shd w:fill="0D1B2A" w:val="clear"/>
            <w:tcMar>
              <w:top w:type="dxa" w:w="110"/>
              <w:left w:type="dxa" w:w="170"/>
              <w:bottom w:type="dxa" w:w="110"/>
              <w:right w:type="dxa" w:w="170"/>
            </w:tcMar>
            <w:vAlign w:val="center"/>
          </w:tcPr>
          <w:p>
            <w:pPr>
              <w:spacing w:before="40" w:after="40"/>
              <w:jc w:val="center"/>
            </w:pPr>
            <w:r>
              <w:rPr>
                <w:rFonts w:ascii="Arial" w:cs="Arial" w:eastAsia="Arial" w:hAnsi="Arial"/>
                <w:b/>
                <w:bCs/>
                <w:i w:val="false"/>
                <w:iCs w:val="false"/>
                <w:color w:val="FFFFFF"/>
                <w:sz w:val="28"/>
                <w:szCs w:val="28"/>
              </w:rPr>
              <w:t xml:space="preserve">10.1</w:t>
            </w:r>
          </w:p>
        </w:tc>
        <w:tc>
          <w:tcPr>
            <w:tcW w:type="dxa" w:w="8660"/>
            <w:gridSpan w:val="1"/>
            <w:tcBorders>
              <w:top w:val="single" w:color="C5D4E8" w:sz="4"/>
              <w:left w:val="single" w:color="C5D4E8" w:sz="4"/>
              <w:bottom w:val="single" w:color="C5D4E8" w:sz="4"/>
              <w:right w:val="single" w:color="C5D4E8" w:sz="4"/>
            </w:tcBorders>
            <w:shd w:fill="0D1B2A"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8"/>
                <w:szCs w:val="28"/>
              </w:rPr>
              <w:t xml:space="preserve">Skill Passport View</w:t>
            </w:r>
          </w:p>
        </w:tc>
      </w:tr>
    </w:tbl>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5D4E8" w:sz="4"/>
              <w:left w:val="single" w:color="C5D4E8" w:sz="4"/>
              <w:bottom w:val="single" w:color="C5D4E8" w:sz="4"/>
              <w:right w:val="single" w:color="C5D4E8" w:sz="4"/>
            </w:tcBorders>
            <w:shd w:fill="E0F4F6"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006D77"/>
                <w:sz w:val="18"/>
                <w:szCs w:val="18"/>
              </w:rPr>
              <w:t xml:space="preserve">[Skill Passport]   [Verified Skills]   [Platform Credentials]   [Holistic Profile]</w:t>
            </w:r>
          </w:p>
        </w:tc>
      </w:tr>
    </w:tbl>
    <w:p>
      <w:pPr>
        <w:spacing w:before="0" w:after="200"/>
      </w:pPr>
    </w:p>
    <w:p>
      <w:pPr>
        <w:spacing w:before="0" w:after="60"/>
      </w:pPr>
      <w:r>
        <w:rPr>
          <w:rFonts w:ascii="Arial" w:cs="Arial" w:eastAsia="Arial" w:hAnsi="Arial"/>
          <w:b/>
          <w:bCs/>
          <w:color w:val="006D77"/>
          <w:sz w:val="24"/>
          <w:szCs w:val="24"/>
        </w:rPr>
        <w:t xml:space="preserve">Purpose</w:t>
      </w:r>
    </w:p>
    <w:p>
      <w:pPr>
        <w:spacing w:before="40" w:after="200" w:line="280"/>
        <w:jc w:val="left"/>
      </w:pPr>
      <w:r>
        <w:rPr>
          <w:rFonts w:ascii="Arial" w:cs="Arial" w:eastAsia="Arial" w:hAnsi="Arial"/>
          <w:b w:val="false"/>
          <w:bCs w:val="false"/>
          <w:i/>
          <w:iCs/>
          <w:color w:val="555555"/>
          <w:sz w:val="22"/>
          <w:szCs w:val="22"/>
        </w:rPr>
        <w:t xml:space="preserve">Give recruiters a single, consolidated view of a candidate's complete verified skill profile — aggregating platform-certified skills, mentor-endorsed competencies, and externally declared credentials into one standardised, trust-differentiated display.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What It Does</w:t>
            </w:r>
          </w:p>
        </w:tc>
        <w:tc>
          <w:tcPr>
            <w:tcW w:type="dxa" w:w="75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The Skill Passport is the top-level skills summary on a candidate's profile. Unlike a traditional CV where skills are self-declared and unverifiable, the Skill Passport displays every skill alongside its verification source and trust level. Skills are categorised into three tiers: Platform-Certified Skills (completed LMS modules, passed assessments — the highest trust level, marked with a blue verified badge), Mentor-Endorsed Skills (endorsed by a verified mentor with their name, Credibility Score, and endorsement level — marked with a green endorsed badge), and Self-Declared Skills (skills the candidate has listed without platform verification — marked with a grey unverified label). Within each tier, skills are further tagged by domain: Technical, Communication, Leadership, Analytical, Creative, and Professional. The passport also shows the overall Skill Breadth Index (total number of distinct skill categories represented) and the Skill Depth Score (average proficiency level across all certified and endorsed skills). A recruiter opening a Skill Passport can immediately distinguish between what a candidate has proven and what they have merely claimed.</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How It Works</w:t>
            </w:r>
          </w:p>
        </w:tc>
        <w:tc>
          <w:tcPr>
            <w:tcW w:type="dxa" w:w="7560"/>
            <w:gridSpan w:val="1"/>
            <w:tcBorders>
              <w:top w:val="single" w:color="C5D4E8" w:sz="4"/>
              <w:left w:val="single" w:color="C5D4E8" w:sz="4"/>
              <w:bottom w:val="single" w:color="C5D4E8" w:sz="4"/>
              <w:right w:val="single" w:color="C5D4E8" w:sz="4"/>
            </w:tcBorders>
            <w:shd w:fill="F6F6F6"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Recruiter opens a candidate's profile → the Skill Passport section loads automatically as the second card below the profile header (after the Career Readiness Index). The passport is displayed as a visual grid of skill tags, colour-coded by verification tier. Each skill tag is clickable: clicking a Platform-Certified skill opens the LMS certificate details (module name, completion date, score if applicable). Clicking a Mentor-Endorsed skill opens the endorsement detail: mentor name, company, Credibility Score, endorsement level (Beginner/Intermediate/Advanced/Expert/World-Class), and the endorsement note (30–150 words). Clicking a Self-Declared skill shows only the candidate's own description. A filter bar allows the recruiter to show only: All Skills, Platform-Certified Only, Mentor-Endorsed Only, or by domain category. The passport can be exported as a PDF credential summary — useful for offline hiring team review meetings.</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Example</w:t>
            </w:r>
          </w:p>
        </w:tc>
        <w:tc>
          <w:tcPr>
            <w:tcW w:type="dxa" w:w="75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Skill Passport — Rahul Sharma | Career Readiness Index: 78/100 | As of March 2026:
PLATFORM-CERTIFIED SKILLS [Blue Badge — 8 skills]
Python (Advanced) — LMS Certificate, completed 12 Dec 2025, Score: 91/100
SQL Fundamentals — LMS Certificate, completed 04 Oct 2025, Score: 88/100
Tableau Basics — LMS Certificate, completed 18 Nov 2025, Score: 85/100
Data Cleaning with Pandas — LMS Certificate, completed 08 Jan 2026
Data Visualisation Principles — LMS Certificate, completed 22 Jan 2026
Business Communication — LMS Certificate, completed 15 Sep 2025
Project Management Fundamentals — LMS Certificate, completed 30 Oct 2025
Professional Email Writing — LMS Certificate, completed 01 Aug 2025
MENTOR-ENDORSED SKILLS [Green Badge — 4 skills]
Data Analysis (Advanced) — Endorsed by Priya Sharma, Senior Data Engineer, Infosys, Credibility 91
Python Data Manipulation (Intermediate-Advanced) — Endorsed by Priya Sharma
Problem Structuring (Intermediate) — Endorsed by Priya Sharma
Client Communication (Intermediate) — Endorsed by Priya Sharma
SELF-DECLARED SKILLS [Grey — 3 skills]
Excel (claimed: Intermediate)
Power BI (claimed: Beginner)
Google Analytics (claimed: Beginner)
Skill Breadth Index: 9 distinct domain categories represented
Skill Depth Score: 4.2 / 5.0 (certified and endorsed skills only)</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Why It Matters</w:t>
            </w:r>
          </w:p>
        </w:tc>
        <w:tc>
          <w:tcPr>
            <w:tcW w:type="dxa" w:w="7560"/>
            <w:gridSpan w:val="1"/>
            <w:tcBorders>
              <w:top w:val="single" w:color="C5D4E8" w:sz="4"/>
              <w:left w:val="single" w:color="C5D4E8" w:sz="4"/>
              <w:bottom w:val="single" w:color="C5D4E8" w:sz="4"/>
              <w:right w:val="single" w:color="C5D4E8" w:sz="4"/>
            </w:tcBorders>
            <w:shd w:fill="F6F6F6"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The fundamental problem with CV skill sections is that they are 100% self-reported and completely unverifiable in the time available for candidate screening. A candidate who writes 'Advanced Python' on their CV and a candidate who has a platform LMS certificate for 'Python Advanced' with a score of 91/100 are presenting the same information in radically different reliability contexts. The three-tier trust differentiation in the Skill Passport makes this distinction visible at a glance — and forces both candidates and recruiters to engage with verified evidence rather than claims. For the recruiter, the Skill Breadth and Depth scores provide a quick comparative benchmark: in a pipeline of 40 candidates, sorting by Skill Depth Score instantly surfaces the candidates whose skills are most deeply verified rather than most extensively self-declared.</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Visibility</w:t>
            </w:r>
          </w:p>
        </w:tc>
        <w:tc>
          <w:tcPr>
            <w:tcW w:type="dxa" w:w="75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Recruiter (full passport with all three tiers, verification sources, and clickable detail). Candidate (their own full passport — they manage self-declared skills and can request endorsements). Mentor (can see their own endorsements on a student's passport — not other mentors' endorsements). Public Profile (passport visible to any logged-in platform user — enables candidate discovery). PDF export: recruiter can export for offline team review.</w:t>
            </w:r>
          </w:p>
        </w:tc>
      </w:tr>
    </w:tbl>
    <w:p>
      <w:pPr>
        <w:spacing w:before="200" w:after="0"/>
      </w:pPr>
    </w:p>
    <w:p>
      <w:pPr>
        <w:spacing w:before="240" w:after="80"/>
      </w:pPr>
      <w:r>
        <w:rPr>
          <w:rFonts w:ascii="Arial" w:cs="Arial" w:eastAsia="Arial" w:hAnsi="Arial"/>
          <w:b/>
          <w:bCs/>
          <w:color w:val="0D1B2A"/>
          <w:sz w:val="22"/>
          <w:szCs w:val="22"/>
        </w:rPr>
        <w:t xml:space="preserve">Implementation Checklist</w:t>
      </w:r>
    </w:p>
    <w:p>
      <w:pPr>
        <w:spacing w:before="40" w:after="40" w:line="280"/>
        <w:jc w:val="left"/>
      </w:pPr>
      <w:r>
        <w:rPr>
          <w:rFonts w:ascii="Arial" w:cs="Arial" w:eastAsia="Arial" w:hAnsi="Arial"/>
          <w:b w:val="false"/>
          <w:bCs w:val="false"/>
          <w:i w:val="false"/>
          <w:iCs w:val="false"/>
          <w:color w:val="1A1A1A"/>
          <w:sz w:val="20"/>
          <w:szCs w:val="20"/>
        </w:rPr>
        <w:t xml:space="preserve">☑  Three skill tiers displayed: Platform-Certified (blue), Mentor-Endorsed (green), Self-Declared (grey)</w:t>
      </w:r>
    </w:p>
    <w:p>
      <w:pPr>
        <w:spacing w:before="40" w:after="40" w:line="280"/>
        <w:jc w:val="left"/>
      </w:pPr>
      <w:r>
        <w:rPr>
          <w:rFonts w:ascii="Arial" w:cs="Arial" w:eastAsia="Arial" w:hAnsi="Arial"/>
          <w:b w:val="false"/>
          <w:bCs w:val="false"/>
          <w:i w:val="false"/>
          <w:iCs w:val="false"/>
          <w:color w:val="1A1A1A"/>
          <w:sz w:val="20"/>
          <w:szCs w:val="20"/>
        </w:rPr>
        <w:t xml:space="preserve">☑  Each platform-certified skill clickable: opens LMS certificate details, completion date, score</w:t>
      </w:r>
    </w:p>
    <w:p>
      <w:pPr>
        <w:spacing w:before="40" w:after="40" w:line="280"/>
        <w:jc w:val="left"/>
      </w:pPr>
      <w:r>
        <w:rPr>
          <w:rFonts w:ascii="Arial" w:cs="Arial" w:eastAsia="Arial" w:hAnsi="Arial"/>
          <w:b w:val="false"/>
          <w:bCs w:val="false"/>
          <w:i w:val="false"/>
          <w:iCs w:val="false"/>
          <w:color w:val="1A1A1A"/>
          <w:sz w:val="20"/>
          <w:szCs w:val="20"/>
        </w:rPr>
        <w:t xml:space="preserve">☑  Each mentor-endorsed skill clickable: opens endorsement — mentor name, company, credibility, level, note</w:t>
      </w:r>
    </w:p>
    <w:p>
      <w:pPr>
        <w:spacing w:before="40" w:after="40" w:line="280"/>
        <w:jc w:val="left"/>
      </w:pPr>
      <w:r>
        <w:rPr>
          <w:rFonts w:ascii="Arial" w:cs="Arial" w:eastAsia="Arial" w:hAnsi="Arial"/>
          <w:b w:val="false"/>
          <w:bCs w:val="false"/>
          <w:i w:val="false"/>
          <w:iCs w:val="false"/>
          <w:color w:val="1A1A1A"/>
          <w:sz w:val="20"/>
          <w:szCs w:val="20"/>
        </w:rPr>
        <w:t xml:space="preserve">☑  Filter bar: All Skills / Platform-Certified Only / Mentor-Endorsed Only / by domain</w:t>
      </w:r>
    </w:p>
    <w:p>
      <w:pPr>
        <w:spacing w:before="40" w:after="40" w:line="280"/>
        <w:jc w:val="left"/>
      </w:pPr>
      <w:r>
        <w:rPr>
          <w:rFonts w:ascii="Arial" w:cs="Arial" w:eastAsia="Arial" w:hAnsi="Arial"/>
          <w:b w:val="false"/>
          <w:bCs w:val="false"/>
          <w:i w:val="false"/>
          <w:iCs w:val="false"/>
          <w:color w:val="1A1A1A"/>
          <w:sz w:val="20"/>
          <w:szCs w:val="20"/>
        </w:rPr>
        <w:t xml:space="preserve">☑  Skill Breadth Index: count of distinct domain categories represented in certified/endorsed skills</w:t>
      </w:r>
    </w:p>
    <w:p>
      <w:pPr>
        <w:spacing w:before="40" w:after="40" w:line="280"/>
        <w:jc w:val="left"/>
      </w:pPr>
      <w:r>
        <w:rPr>
          <w:rFonts w:ascii="Arial" w:cs="Arial" w:eastAsia="Arial" w:hAnsi="Arial"/>
          <w:b w:val="false"/>
          <w:bCs w:val="false"/>
          <w:i w:val="false"/>
          <w:iCs w:val="false"/>
          <w:color w:val="1A1A1A"/>
          <w:sz w:val="20"/>
          <w:szCs w:val="20"/>
        </w:rPr>
        <w:t xml:space="preserve">☑  Skill Depth Score: average proficiency level across certified and endorsed skills only</w:t>
      </w:r>
    </w:p>
    <w:p>
      <w:pPr>
        <w:spacing w:before="40" w:after="40" w:line="280"/>
        <w:jc w:val="left"/>
      </w:pPr>
      <w:r>
        <w:rPr>
          <w:rFonts w:ascii="Arial" w:cs="Arial" w:eastAsia="Arial" w:hAnsi="Arial"/>
          <w:b w:val="false"/>
          <w:bCs w:val="false"/>
          <w:i w:val="false"/>
          <w:iCs w:val="false"/>
          <w:color w:val="1A1A1A"/>
          <w:sz w:val="20"/>
          <w:szCs w:val="20"/>
        </w:rPr>
        <w:t xml:space="preserve">☑  Passport displayed as second card on profile — immediately visible after header</w:t>
      </w:r>
    </w:p>
    <w:p>
      <w:pPr>
        <w:spacing w:before="40" w:after="40" w:line="280"/>
        <w:jc w:val="left"/>
      </w:pPr>
      <w:r>
        <w:rPr>
          <w:rFonts w:ascii="Arial" w:cs="Arial" w:eastAsia="Arial" w:hAnsi="Arial"/>
          <w:b w:val="false"/>
          <w:bCs w:val="false"/>
          <w:i w:val="false"/>
          <w:iCs w:val="false"/>
          <w:color w:val="1A1A1A"/>
          <w:sz w:val="20"/>
          <w:szCs w:val="20"/>
        </w:rPr>
        <w:t xml:space="preserve">☑  PDF export available for offline hiring team review — includes all tiers and verification sources</w:t>
      </w:r>
    </w:p>
    <w:p>
      <w:pPr>
        <w:pageBreakBefore/>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gridSpan w:val="1"/>
            <w:tcBorders>
              <w:top w:val="single" w:color="C5D4E8" w:sz="4"/>
              <w:left w:val="single" w:color="C5D4E8" w:sz="4"/>
              <w:bottom w:val="single" w:color="C5D4E8" w:sz="4"/>
              <w:right w:val="single" w:color="C5D4E8" w:sz="4"/>
            </w:tcBorders>
            <w:shd w:fill="0D1B2A" w:val="clear"/>
            <w:tcMar>
              <w:top w:type="dxa" w:w="110"/>
              <w:left w:type="dxa" w:w="170"/>
              <w:bottom w:type="dxa" w:w="110"/>
              <w:right w:type="dxa" w:w="170"/>
            </w:tcMar>
            <w:vAlign w:val="center"/>
          </w:tcPr>
          <w:p>
            <w:pPr>
              <w:spacing w:before="40" w:after="40"/>
              <w:jc w:val="center"/>
            </w:pPr>
            <w:r>
              <w:rPr>
                <w:rFonts w:ascii="Arial" w:cs="Arial" w:eastAsia="Arial" w:hAnsi="Arial"/>
                <w:b/>
                <w:bCs/>
                <w:i w:val="false"/>
                <w:iCs w:val="false"/>
                <w:color w:val="FFFFFF"/>
                <w:sz w:val="28"/>
                <w:szCs w:val="28"/>
              </w:rPr>
              <w:t xml:space="preserve">10.2</w:t>
            </w:r>
          </w:p>
        </w:tc>
        <w:tc>
          <w:tcPr>
            <w:tcW w:type="dxa" w:w="8660"/>
            <w:gridSpan w:val="1"/>
            <w:tcBorders>
              <w:top w:val="single" w:color="C5D4E8" w:sz="4"/>
              <w:left w:val="single" w:color="C5D4E8" w:sz="4"/>
              <w:bottom w:val="single" w:color="C5D4E8" w:sz="4"/>
              <w:right w:val="single" w:color="C5D4E8" w:sz="4"/>
            </w:tcBorders>
            <w:shd w:fill="0D1B2A"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8"/>
                <w:szCs w:val="28"/>
              </w:rPr>
              <w:t xml:space="preserve">Skill Proficiency Levels</w:t>
            </w:r>
          </w:p>
        </w:tc>
      </w:tr>
    </w:tbl>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5D4E8" w:sz="4"/>
              <w:left w:val="single" w:color="C5D4E8" w:sz="4"/>
              <w:bottom w:val="single" w:color="C5D4E8" w:sz="4"/>
              <w:right w:val="single" w:color="C5D4E8" w:sz="4"/>
            </w:tcBorders>
            <w:shd w:fill="E0F4F6"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006D77"/>
                <w:sz w:val="18"/>
                <w:szCs w:val="18"/>
              </w:rPr>
              <w:t xml:space="preserve">[Proficiency Levels]   [Skill Depth]   [Level Standards]   [Competency Assessment]</w:t>
            </w:r>
          </w:p>
        </w:tc>
      </w:tr>
    </w:tbl>
    <w:p>
      <w:pPr>
        <w:spacing w:before="0" w:after="200"/>
      </w:pPr>
    </w:p>
    <w:p>
      <w:pPr>
        <w:spacing w:before="0" w:after="60"/>
      </w:pPr>
      <w:r>
        <w:rPr>
          <w:rFonts w:ascii="Arial" w:cs="Arial" w:eastAsia="Arial" w:hAnsi="Arial"/>
          <w:b/>
          <w:bCs/>
          <w:color w:val="006D77"/>
          <w:sz w:val="24"/>
          <w:szCs w:val="24"/>
        </w:rPr>
        <w:t xml:space="preserve">Purpose</w:t>
      </w:r>
    </w:p>
    <w:p>
      <w:pPr>
        <w:spacing w:before="40" w:after="200" w:line="280"/>
        <w:jc w:val="left"/>
      </w:pPr>
      <w:r>
        <w:rPr>
          <w:rFonts w:ascii="Arial" w:cs="Arial" w:eastAsia="Arial" w:hAnsi="Arial"/>
          <w:b w:val="false"/>
          <w:bCs w:val="false"/>
          <w:i/>
          <w:iCs/>
          <w:color w:val="555555"/>
          <w:sz w:val="22"/>
          <w:szCs w:val="22"/>
        </w:rPr>
        <w:t xml:space="preserve">Present each candidate skill with a standardised, platform-defined proficiency level — giving recruiters a consistent benchmark for comparing candidates' skill depths against each other and against role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What It Does</w:t>
            </w:r>
          </w:p>
        </w:tc>
        <w:tc>
          <w:tcPr>
            <w:tcW w:type="dxa" w:w="75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Skill Proficiency Levels is the standardised classification system used across all certified and endorsed skills on the platform. Every skill is assigned one of five proficiency levels: Beginner (can complete basic tasks with guidance — understands the concept, limited independent application), Foundational (can complete standard tasks independently — has applied the skill in a structured learning context), Intermediate (can handle complex scenarios with some support — has applied the skill in real project contexts), Advanced (can work independently on complex problems — has produced verified work of professional standard), and Expert (can mentor others, solve novel problems, and operate at professional-practitioner level). Each level has an associated evidence requirement: Beginner and Foundational can be self-declared, Intermediate requires either an LMS Advanced module completion or a completed Marketplace project in that skill, Advanced requires both a platform certification above 80% and at least one mentor endorsement at Advanced or above, and Expert requires both and a World-Class mentor endorsement or a competition achievement in the skill domain.</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How It Works</w:t>
            </w:r>
          </w:p>
        </w:tc>
        <w:tc>
          <w:tcPr>
            <w:tcW w:type="dxa" w:w="7560"/>
            <w:gridSpan w:val="1"/>
            <w:tcBorders>
              <w:top w:val="single" w:color="C5D4E8" w:sz="4"/>
              <w:left w:val="single" w:color="C5D4E8" w:sz="4"/>
              <w:bottom w:val="single" w:color="C5D4E8" w:sz="4"/>
              <w:right w:val="single" w:color="C5D4E8" w:sz="4"/>
            </w:tcBorders>
            <w:shd w:fill="F6F6F6"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When a recruiter views a candidate's skill in the Skill Passport (Feature 10.1) or the Skill Growth Analytics (Feature 10.11), each skill's proficiency level is displayed as a visual badge and a progress bar. The progress bar uses a 5-segment scale — each segment represents one proficiency level. The current level is highlighted in the segment. Below the progress bar, a single sentence describes what the candidate has done to earn this level: 'Intermediate — evidenced by 2 completed Marketplace data analysis projects rated 4.5/5.' The recruiter can compare proficiency levels across candidates in their pipeline using the Candidate Comparison view: a side-by-side grid of two to four candidates' skill levels for a set of role-required skills. The comparison grid shows whether each candidate meets, exceeds, or falls short of the level defined in the role's JD requirements for that specific skill.</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Example</w:t>
            </w:r>
          </w:p>
        </w:tc>
        <w:tc>
          <w:tcPr>
            <w:tcW w:type="dxa" w:w="75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Skill Proficiency Display — Rahul Sharma | Python Skill | March 2026:
Proficiency Level: ADVANCED
Evidence chain:
  Platform Certified: Python Advanced LMS — Score 91/100 (completed 12 Dec 2025)
  Mentor Endorsed: Advanced — Priya Sharma, Senior Data Engineer, Infosys (Credibility 91)
  Project Evidence: 2 Marketplace projects using Python as primary tool — avg company rating 4.5/5
Progress Bar: [Beginner] [Foundational] [Intermediate] [ADVANCED ▼] [Expert]
Level description: 'Works independently on complex Python data manipulation problems. Has produced professional-standard output in two client-facing Marketplace projects.'
Candidate Comparison — Role Requirement: Python at Intermediate level or above:
Skill          Required   Rahul       Meera       Arun
Python         Intermediate+ ADVANCED ✓ INTERMEDIATE ✓ FOUNDATIONAL ✗
SQL            Intermediate+ INTERMEDIATE ✓ ADVANCED ✓ INTERMEDIATE ✓
Tableau        Foundational+ FOUNDATIONAL ✓ INTERMEDIATE ✓ BEGINNER ✗
Data Analysis  Intermediate+ ADVANCED ✓ INTERMEDIATE ✓ FOUNDATIONAL ✗
Summary: Rahul meets or exceeds all 4 role requirements. Meera meets 3 of 4. Arun meets 2 of 4.</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Why It Matters</w:t>
            </w:r>
          </w:p>
        </w:tc>
        <w:tc>
          <w:tcPr>
            <w:tcW w:type="dxa" w:w="7560"/>
            <w:gridSpan w:val="1"/>
            <w:tcBorders>
              <w:top w:val="single" w:color="C5D4E8" w:sz="4"/>
              <w:left w:val="single" w:color="C5D4E8" w:sz="4"/>
              <w:bottom w:val="single" w:color="C5D4E8" w:sz="4"/>
              <w:right w:val="single" w:color="C5D4E8" w:sz="4"/>
            </w:tcBorders>
            <w:shd w:fill="F6F6F6"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Proficiency levels without an evidence chain are subjective assessments. An endorsement of 'Advanced Python' from a mentor with a Credibility Score of 91 who is a Senior Data Engineer at Infosys, combined with a platform certificate score of 91% and two 4.5/5-rated Marketplace projects, is categorically different from a self-declared 'Advanced Python' with no evidence. The evidence chain makes this visible — and the Candidate Comparison view translates it into a directly actionable hiring tool: rather than reading 40 profiles subjectively, the recruiter can define the role requirements and let the comparison grid immediately show who meets every bar. This is the most efficient possible use of a recruiter's evaluation time.</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Visibility</w:t>
            </w:r>
          </w:p>
        </w:tc>
        <w:tc>
          <w:tcPr>
            <w:tcW w:type="dxa" w:w="75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Recruiter (full proficiency display including evidence chain and candidate comparison). Candidate (their own proficiency levels — with full evidence chain visible). Mentor (can see proficiency levels of their endorsed students). Public Profile (proficiency levels visible to any logged-in user). Candidate Comparison view: recruiter-only, using their shortlisted candidates.</w:t>
            </w:r>
          </w:p>
        </w:tc>
      </w:tr>
    </w:tbl>
    <w:p>
      <w:pPr>
        <w:spacing w:before="200" w:after="0"/>
      </w:pPr>
    </w:p>
    <w:p>
      <w:pPr>
        <w:spacing w:before="240" w:after="80"/>
      </w:pPr>
      <w:r>
        <w:rPr>
          <w:rFonts w:ascii="Arial" w:cs="Arial" w:eastAsia="Arial" w:hAnsi="Arial"/>
          <w:b/>
          <w:bCs/>
          <w:color w:val="0D1B2A"/>
          <w:sz w:val="22"/>
          <w:szCs w:val="22"/>
        </w:rPr>
        <w:t xml:space="preserve">Implementation Checklist</w:t>
      </w:r>
    </w:p>
    <w:p>
      <w:pPr>
        <w:spacing w:before="40" w:after="40" w:line="280"/>
        <w:jc w:val="left"/>
      </w:pPr>
      <w:r>
        <w:rPr>
          <w:rFonts w:ascii="Arial" w:cs="Arial" w:eastAsia="Arial" w:hAnsi="Arial"/>
          <w:b w:val="false"/>
          <w:bCs w:val="false"/>
          <w:i w:val="false"/>
          <w:iCs w:val="false"/>
          <w:color w:val="1A1A1A"/>
          <w:sz w:val="20"/>
          <w:szCs w:val="20"/>
        </w:rPr>
        <w:t xml:space="preserve">☑  Five proficiency levels: Beginner, Foundational, Intermediate, Advanced, Expert</w:t>
      </w:r>
    </w:p>
    <w:p>
      <w:pPr>
        <w:spacing w:before="40" w:after="40" w:line="280"/>
        <w:jc w:val="left"/>
      </w:pPr>
      <w:r>
        <w:rPr>
          <w:rFonts w:ascii="Arial" w:cs="Arial" w:eastAsia="Arial" w:hAnsi="Arial"/>
          <w:b w:val="false"/>
          <w:bCs w:val="false"/>
          <w:i w:val="false"/>
          <w:iCs w:val="false"/>
          <w:color w:val="1A1A1A"/>
          <w:sz w:val="20"/>
          <w:szCs w:val="20"/>
        </w:rPr>
        <w:t xml:space="preserve">☑  Evidence requirements per level: Foundational and above require platform or real-world evidence</w:t>
      </w:r>
    </w:p>
    <w:p>
      <w:pPr>
        <w:spacing w:before="40" w:after="40" w:line="280"/>
        <w:jc w:val="left"/>
      </w:pPr>
      <w:r>
        <w:rPr>
          <w:rFonts w:ascii="Arial" w:cs="Arial" w:eastAsia="Arial" w:hAnsi="Arial"/>
          <w:b w:val="false"/>
          <w:bCs w:val="false"/>
          <w:i w:val="false"/>
          <w:iCs w:val="false"/>
          <w:color w:val="1A1A1A"/>
          <w:sz w:val="20"/>
          <w:szCs w:val="20"/>
        </w:rPr>
        <w:t xml:space="preserve">☑  Advanced level requires: LMS certification above 80% AND mentor endorsement at Advanced or above</w:t>
      </w:r>
    </w:p>
    <w:p>
      <w:pPr>
        <w:spacing w:before="40" w:after="40" w:line="280"/>
        <w:jc w:val="left"/>
      </w:pPr>
      <w:r>
        <w:rPr>
          <w:rFonts w:ascii="Arial" w:cs="Arial" w:eastAsia="Arial" w:hAnsi="Arial"/>
          <w:b w:val="false"/>
          <w:bCs w:val="false"/>
          <w:i w:val="false"/>
          <w:iCs w:val="false"/>
          <w:color w:val="1A1A1A"/>
          <w:sz w:val="20"/>
          <w:szCs w:val="20"/>
        </w:rPr>
        <w:t xml:space="preserve">☑  Expert level requires: both of the above AND World-Class endorsement or competition achievement</w:t>
      </w:r>
    </w:p>
    <w:p>
      <w:pPr>
        <w:spacing w:before="40" w:after="40" w:line="280"/>
        <w:jc w:val="left"/>
      </w:pPr>
      <w:r>
        <w:rPr>
          <w:rFonts w:ascii="Arial" w:cs="Arial" w:eastAsia="Arial" w:hAnsi="Arial"/>
          <w:b w:val="false"/>
          <w:bCs w:val="false"/>
          <w:i w:val="false"/>
          <w:iCs w:val="false"/>
          <w:color w:val="1A1A1A"/>
          <w:sz w:val="20"/>
          <w:szCs w:val="20"/>
        </w:rPr>
        <w:t xml:space="preserve">☑  Visual display: 5-segment progress bar with current level highlighted</w:t>
      </w:r>
    </w:p>
    <w:p>
      <w:pPr>
        <w:spacing w:before="40" w:after="40" w:line="280"/>
        <w:jc w:val="left"/>
      </w:pPr>
      <w:r>
        <w:rPr>
          <w:rFonts w:ascii="Arial" w:cs="Arial" w:eastAsia="Arial" w:hAnsi="Arial"/>
          <w:b w:val="false"/>
          <w:bCs w:val="false"/>
          <w:i w:val="false"/>
          <w:iCs w:val="false"/>
          <w:color w:val="1A1A1A"/>
          <w:sz w:val="20"/>
          <w:szCs w:val="20"/>
        </w:rPr>
        <w:t xml:space="preserve">☑  Level description sentence: what the candidate has done to earn this specific level</w:t>
      </w:r>
    </w:p>
    <w:p>
      <w:pPr>
        <w:spacing w:before="40" w:after="40" w:line="280"/>
        <w:jc w:val="left"/>
      </w:pPr>
      <w:r>
        <w:rPr>
          <w:rFonts w:ascii="Arial" w:cs="Arial" w:eastAsia="Arial" w:hAnsi="Arial"/>
          <w:b w:val="false"/>
          <w:bCs w:val="false"/>
          <w:i w:val="false"/>
          <w:iCs w:val="false"/>
          <w:color w:val="1A1A1A"/>
          <w:sz w:val="20"/>
          <w:szCs w:val="20"/>
        </w:rPr>
        <w:t xml:space="preserve">☑  Candidate Comparison view: side-by-side grid of 2–4 candidates vs role requirements</w:t>
      </w:r>
    </w:p>
    <w:p>
      <w:pPr>
        <w:spacing w:before="40" w:after="40" w:line="280"/>
        <w:jc w:val="left"/>
      </w:pPr>
      <w:r>
        <w:rPr>
          <w:rFonts w:ascii="Arial" w:cs="Arial" w:eastAsia="Arial" w:hAnsi="Arial"/>
          <w:b w:val="false"/>
          <w:bCs w:val="false"/>
          <w:i w:val="false"/>
          <w:iCs w:val="false"/>
          <w:color w:val="1A1A1A"/>
          <w:sz w:val="20"/>
          <w:szCs w:val="20"/>
        </w:rPr>
        <w:t xml:space="preserve">☑  Comparison grid: colour-coded Meets/Exceeds/Falls Short per skill per candidate</w:t>
      </w:r>
    </w:p>
    <w:p>
      <w:pPr>
        <w:pageBreakBefore/>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gridSpan w:val="1"/>
            <w:tcBorders>
              <w:top w:val="single" w:color="C5D4E8" w:sz="4"/>
              <w:left w:val="single" w:color="C5D4E8" w:sz="4"/>
              <w:bottom w:val="single" w:color="C5D4E8" w:sz="4"/>
              <w:right w:val="single" w:color="C5D4E8" w:sz="4"/>
            </w:tcBorders>
            <w:shd w:fill="0D1B2A" w:val="clear"/>
            <w:tcMar>
              <w:top w:type="dxa" w:w="110"/>
              <w:left w:type="dxa" w:w="170"/>
              <w:bottom w:type="dxa" w:w="110"/>
              <w:right w:type="dxa" w:w="170"/>
            </w:tcMar>
            <w:vAlign w:val="center"/>
          </w:tcPr>
          <w:p>
            <w:pPr>
              <w:spacing w:before="40" w:after="40"/>
              <w:jc w:val="center"/>
            </w:pPr>
            <w:r>
              <w:rPr>
                <w:rFonts w:ascii="Arial" w:cs="Arial" w:eastAsia="Arial" w:hAnsi="Arial"/>
                <w:b/>
                <w:bCs/>
                <w:i w:val="false"/>
                <w:iCs w:val="false"/>
                <w:color w:val="FFFFFF"/>
                <w:sz w:val="28"/>
                <w:szCs w:val="28"/>
              </w:rPr>
              <w:t xml:space="preserve">10.3</w:t>
            </w:r>
          </w:p>
        </w:tc>
        <w:tc>
          <w:tcPr>
            <w:tcW w:type="dxa" w:w="8660"/>
            <w:gridSpan w:val="1"/>
            <w:tcBorders>
              <w:top w:val="single" w:color="C5D4E8" w:sz="4"/>
              <w:left w:val="single" w:color="C5D4E8" w:sz="4"/>
              <w:bottom w:val="single" w:color="C5D4E8" w:sz="4"/>
              <w:right w:val="single" w:color="C5D4E8" w:sz="4"/>
            </w:tcBorders>
            <w:shd w:fill="0D1B2A"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8"/>
                <w:szCs w:val="28"/>
              </w:rPr>
              <w:t xml:space="preserve">Project Portfolio Viewer</w:t>
            </w:r>
          </w:p>
        </w:tc>
      </w:tr>
    </w:tbl>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5D4E8" w:sz="4"/>
              <w:left w:val="single" w:color="C5D4E8" w:sz="4"/>
              <w:bottom w:val="single" w:color="C5D4E8" w:sz="4"/>
              <w:right w:val="single" w:color="C5D4E8" w:sz="4"/>
            </w:tcBorders>
            <w:shd w:fill="E0F4F6"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006D77"/>
                <w:sz w:val="18"/>
                <w:szCs w:val="18"/>
              </w:rPr>
              <w:t xml:space="preserve">[Project Portfolio]   [Marketplace Projects]   [Work Samples]   [Evidence of Output]</w:t>
            </w:r>
          </w:p>
        </w:tc>
      </w:tr>
    </w:tbl>
    <w:p>
      <w:pPr>
        <w:spacing w:before="0" w:after="200"/>
      </w:pPr>
    </w:p>
    <w:p>
      <w:pPr>
        <w:spacing w:before="0" w:after="60"/>
      </w:pPr>
      <w:r>
        <w:rPr>
          <w:rFonts w:ascii="Arial" w:cs="Arial" w:eastAsia="Arial" w:hAnsi="Arial"/>
          <w:b/>
          <w:bCs/>
          <w:color w:val="006D77"/>
          <w:sz w:val="24"/>
          <w:szCs w:val="24"/>
        </w:rPr>
        <w:t xml:space="preserve">Purpose</w:t>
      </w:r>
    </w:p>
    <w:p>
      <w:pPr>
        <w:spacing w:before="40" w:after="200" w:line="280"/>
        <w:jc w:val="left"/>
      </w:pPr>
      <w:r>
        <w:rPr>
          <w:rFonts w:ascii="Arial" w:cs="Arial" w:eastAsia="Arial" w:hAnsi="Arial"/>
          <w:b w:val="false"/>
          <w:bCs w:val="false"/>
          <w:i/>
          <w:iCs/>
          <w:color w:val="555555"/>
          <w:sz w:val="22"/>
          <w:szCs w:val="22"/>
        </w:rPr>
        <w:t xml:space="preserve">Allow recruiters to review a candidate's actual project work — reading briefs, outcomes, client feedback, and deliverable descriptions — so that hiring decisions are based on demonstrated output quality, not just claimed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What It Does</w:t>
            </w:r>
          </w:p>
        </w:tc>
        <w:tc>
          <w:tcPr>
            <w:tcW w:type="dxa" w:w="75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The Project Portfolio Viewer is a structured gallery of all projects a candidate has completed on the EcoSkiller Marketplace. Each project entry contains: the Project Title and a 2–3 sentence description of the client brief, the candidate's role in the project (if a team project: their specific contribution), the domain and skill tags applied in the project, the project duration (start to submission date), the company's rating of the final deliverable (1–5 stars), the company's written feedback (if provided and consent given to share), the mentor's review comments (if the project had a mentor reviewer), whether the project was completed on time, and the outcome (Accepted / Accepted with Revisions / Requires Rework). Recruiters can see the project's deliverable description but not the deliverable itself — privacy and IP protection. For projects where the student has created a shareable output (a public dashboard, a report, a visualisation), the student may link to an external portfolio or demo — visible as a 'View Output' button.</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How It Works</w:t>
            </w:r>
          </w:p>
        </w:tc>
        <w:tc>
          <w:tcPr>
            <w:tcW w:type="dxa" w:w="7560"/>
            <w:gridSpan w:val="1"/>
            <w:tcBorders>
              <w:top w:val="single" w:color="C5D4E8" w:sz="4"/>
              <w:left w:val="single" w:color="C5D4E8" w:sz="4"/>
              <w:bottom w:val="single" w:color="C5D4E8" w:sz="4"/>
              <w:right w:val="single" w:color="C5D4E8" w:sz="4"/>
            </w:tcBorders>
            <w:shd w:fill="F6F6F6"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Recruiter opens a candidate's profile → 'Projects' tab. Projects are displayed as cards in reverse chronological order — most recent first. Each card shows: project title, domain tag, duration, company rating (stars), and the completion status badge (On Time / Late / Incomplete). Recruiter clicks 'View Project Details' to expand the full project record. A filter bar allows filtering by: domain, company rating (e.g., 'Show only 4-star and above'), date range, and mentor-reviewed projects only. A summary bar at the top of the Projects tab shows: total projects completed, average company rating, on-time completion rate, and the highest-rated project. If the candidate has linked a public output for any project, a 'View Live Output' button appears on the project card — opening the link in a new tab. All project data is platform-verified — the company rating and feedback are submitted by the client company, not by the student.</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Example</w:t>
            </w:r>
          </w:p>
        </w:tc>
        <w:tc>
          <w:tcPr>
            <w:tcW w:type="dxa" w:w="75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Project Portfolio — Rahul Sharma | March 2026
Summary: 2 projects completed | Average rating: 4.5/5 | On-time rate: 100% | Mentor reviewed: 2 of 2
Project 1: DataCorp Analytics Dashboard Rebuild
Domain: Data Analysis | Duration: 6 weeks (01 Oct – 12 Nov 2025) | Completed: ON TIME
Brief: 'Rebuild DataCorp's existing monthly sales dashboard in Tableau — migrating from Excel-based reports to an interactive, filterable dashboard with 5 views. Automate data refresh from CSV inputs.'
Role: Solo student project — full ownership of design and implementation
Outcome: ACCEPTED (no revisions required)
Company Rating: ★★★★★ (5/5)
Company Feedback: 'Rahul delivered a dashboard that has been adopted across 3 business units. His approach to understanding the user requirements first — before building — was notable for a student project.'
Mentor Review: Priya Sharma — 'Rahul independently managed a scope change in Week 4 when the client requested an additional view. He handled it professionally without the timeline slipping.'
[View Live Output: DataCorp Dashboard Demo — Tableau Public]
Project 2: SalesMetrics CRM Data Cleaning
Domain: Data Analysis | Duration: 4 weeks (01 Dec – 28 Dec 2025) | Completed: ON TIME
Brief: 'Clean and standardise 18-months of CRM export data — resolve duplicate records, standardise date formats, and produce a clean master dataset for the sales team's Q1 analysis.'
Role: Solo project — Python and SQL
Outcome: ACCEPTED with minor revisions (formatting standard adjusted in final submission)
Company Rating: ★★★★☆ (4/5)
Company Feedback: 'Thorough and methodical work. Minor revision request on output formatting — resolved quickly.'
Mentor Review: 'Python and SQL methodology were solid. The revision was a documentation standard issue, not a technical one — Rahul flagged it himself before we needed to.'</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Why It Matters</w:t>
            </w:r>
          </w:p>
        </w:tc>
        <w:tc>
          <w:tcPr>
            <w:tcW w:type="dxa" w:w="7560"/>
            <w:gridSpan w:val="1"/>
            <w:tcBorders>
              <w:top w:val="single" w:color="C5D4E8" w:sz="4"/>
              <w:left w:val="single" w:color="C5D4E8" w:sz="4"/>
              <w:bottom w:val="single" w:color="C5D4E8" w:sz="4"/>
              <w:right w:val="single" w:color="C5D4E8" w:sz="4"/>
            </w:tcBorders>
            <w:shd w:fill="F6F6F6"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A candidate who has completed two Marketplace projects — with 5-star and 4-star company ratings, both on time, both mentor-reviewed, with specific client feedback saying 'his dashboard has been adopted across 3 business units' — is presenting something no CV or certification can match: verified evidence of actual professional output quality. The recruiter is not reading self-reported achievements. They are reading what the client company said about the work and what the mentor observed during execution. This is the closest available proxy to the 3-month work trial that most companies wish they could conduct before hiring. The 'View Live Output' link for interactive deliverables takes it further — the recruiter can use the actual dashboard the candidate built for a real client.</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Visibility</w:t>
            </w:r>
          </w:p>
        </w:tc>
        <w:tc>
          <w:tcPr>
            <w:tcW w:type="dxa" w:w="75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Recruiter (full project details including company rating, feedback, mentor review, and live output link). Candidate (full details of their own projects — manages their external output links). Mentor (can see all projects they reviewed — their own comments visible). Company clients (the companies that commissioned the projects can see their own project records — not other companies' projects). Project deliverable files are NOT shared with recruiters — IP protection. Only descriptions, ratings, feedback, and candidate-linked public outputs.</w:t>
            </w:r>
          </w:p>
        </w:tc>
      </w:tr>
    </w:tbl>
    <w:p>
      <w:pPr>
        <w:spacing w:before="200" w:after="0"/>
      </w:pPr>
    </w:p>
    <w:p>
      <w:pPr>
        <w:spacing w:before="240" w:after="80"/>
      </w:pPr>
      <w:r>
        <w:rPr>
          <w:rFonts w:ascii="Arial" w:cs="Arial" w:eastAsia="Arial" w:hAnsi="Arial"/>
          <w:b/>
          <w:bCs/>
          <w:color w:val="0D1B2A"/>
          <w:sz w:val="22"/>
          <w:szCs w:val="22"/>
        </w:rPr>
        <w:t xml:space="preserve">Implementation Checklist</w:t>
      </w:r>
    </w:p>
    <w:p>
      <w:pPr>
        <w:spacing w:before="40" w:after="40" w:line="280"/>
        <w:jc w:val="left"/>
      </w:pPr>
      <w:r>
        <w:rPr>
          <w:rFonts w:ascii="Arial" w:cs="Arial" w:eastAsia="Arial" w:hAnsi="Arial"/>
          <w:b w:val="false"/>
          <w:bCs w:val="false"/>
          <w:i w:val="false"/>
          <w:iCs w:val="false"/>
          <w:color w:val="1A1A1A"/>
          <w:sz w:val="20"/>
          <w:szCs w:val="20"/>
        </w:rPr>
        <w:t xml:space="preserve">☑  Project cards: title, domain, duration, company rating, on-time badge — visible in gallery view</w:t>
      </w:r>
    </w:p>
    <w:p>
      <w:pPr>
        <w:spacing w:before="40" w:after="40" w:line="280"/>
        <w:jc w:val="left"/>
      </w:pPr>
      <w:r>
        <w:rPr>
          <w:rFonts w:ascii="Arial" w:cs="Arial" w:eastAsia="Arial" w:hAnsi="Arial"/>
          <w:b w:val="false"/>
          <w:bCs w:val="false"/>
          <w:i w:val="false"/>
          <w:iCs w:val="false"/>
          <w:color w:val="1A1A1A"/>
          <w:sz w:val="20"/>
          <w:szCs w:val="20"/>
        </w:rPr>
        <w:t xml:space="preserve">☑  Full project detail: brief, candidate role, outcome, company rating + feedback, mentor review</w:t>
      </w:r>
    </w:p>
    <w:p>
      <w:pPr>
        <w:spacing w:before="40" w:after="40" w:line="280"/>
        <w:jc w:val="left"/>
      </w:pPr>
      <w:r>
        <w:rPr>
          <w:rFonts w:ascii="Arial" w:cs="Arial" w:eastAsia="Arial" w:hAnsi="Arial"/>
          <w:b w:val="false"/>
          <w:bCs w:val="false"/>
          <w:i w:val="false"/>
          <w:iCs w:val="false"/>
          <w:color w:val="1A1A1A"/>
          <w:sz w:val="20"/>
          <w:szCs w:val="20"/>
        </w:rPr>
        <w:t xml:space="preserve">☑  Summary bar: total projects, average rating, on-time rate, highest-rated project</w:t>
      </w:r>
    </w:p>
    <w:p>
      <w:pPr>
        <w:spacing w:before="40" w:after="40" w:line="280"/>
        <w:jc w:val="left"/>
      </w:pPr>
      <w:r>
        <w:rPr>
          <w:rFonts w:ascii="Arial" w:cs="Arial" w:eastAsia="Arial" w:hAnsi="Arial"/>
          <w:b w:val="false"/>
          <w:bCs w:val="false"/>
          <w:i w:val="false"/>
          <w:iCs w:val="false"/>
          <w:color w:val="1A1A1A"/>
          <w:sz w:val="20"/>
          <w:szCs w:val="20"/>
        </w:rPr>
        <w:t xml:space="preserve">☑  Filter: by domain, minimum rating, date range, mentor-reviewed only</w:t>
      </w:r>
    </w:p>
    <w:p>
      <w:pPr>
        <w:spacing w:before="40" w:after="40" w:line="280"/>
        <w:jc w:val="left"/>
      </w:pPr>
      <w:r>
        <w:rPr>
          <w:rFonts w:ascii="Arial" w:cs="Arial" w:eastAsia="Arial" w:hAnsi="Arial"/>
          <w:b w:val="false"/>
          <w:bCs w:val="false"/>
          <w:i w:val="false"/>
          <w:iCs w:val="false"/>
          <w:color w:val="1A1A1A"/>
          <w:sz w:val="20"/>
          <w:szCs w:val="20"/>
        </w:rPr>
        <w:t xml:space="preserve">☑  On-time completion rate calculated and displayed — not just reported by student</w:t>
      </w:r>
    </w:p>
    <w:p>
      <w:pPr>
        <w:spacing w:before="40" w:after="40" w:line="280"/>
        <w:jc w:val="left"/>
      </w:pPr>
      <w:r>
        <w:rPr>
          <w:rFonts w:ascii="Arial" w:cs="Arial" w:eastAsia="Arial" w:hAnsi="Arial"/>
          <w:b w:val="false"/>
          <w:bCs w:val="false"/>
          <w:i w:val="false"/>
          <w:iCs w:val="false"/>
          <w:color w:val="1A1A1A"/>
          <w:sz w:val="20"/>
          <w:szCs w:val="20"/>
        </w:rPr>
        <w:t xml:space="preserve">☑  'View Live Output' button: candidate-linked public output (Tableau Public, GitHub Pages, etc.)</w:t>
      </w:r>
    </w:p>
    <w:p>
      <w:pPr>
        <w:spacing w:before="40" w:after="40" w:line="280"/>
        <w:jc w:val="left"/>
      </w:pPr>
      <w:r>
        <w:rPr>
          <w:rFonts w:ascii="Arial" w:cs="Arial" w:eastAsia="Arial" w:hAnsi="Arial"/>
          <w:b w:val="false"/>
          <w:bCs w:val="false"/>
          <w:i w:val="false"/>
          <w:iCs w:val="false"/>
          <w:color w:val="1A1A1A"/>
          <w:sz w:val="20"/>
          <w:szCs w:val="20"/>
        </w:rPr>
        <w:t xml:space="preserve">☑  All project data platform-verified — company rating submitted by client, not student</w:t>
      </w:r>
    </w:p>
    <w:p>
      <w:pPr>
        <w:spacing w:before="40" w:after="40" w:line="280"/>
        <w:jc w:val="left"/>
      </w:pPr>
      <w:r>
        <w:rPr>
          <w:rFonts w:ascii="Arial" w:cs="Arial" w:eastAsia="Arial" w:hAnsi="Arial"/>
          <w:b w:val="false"/>
          <w:bCs w:val="false"/>
          <w:i w:val="false"/>
          <w:iCs w:val="false"/>
          <w:color w:val="1A1A1A"/>
          <w:sz w:val="20"/>
          <w:szCs w:val="20"/>
        </w:rPr>
        <w:t xml:space="preserve">☑  Project deliverable files not accessible to recruiter — IP protection enforced</w:t>
      </w:r>
    </w:p>
    <w:p>
      <w:pPr>
        <w:pageBreakBefore/>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gridSpan w:val="1"/>
            <w:tcBorders>
              <w:top w:val="single" w:color="C5D4E8" w:sz="4"/>
              <w:left w:val="single" w:color="C5D4E8" w:sz="4"/>
              <w:bottom w:val="single" w:color="C5D4E8" w:sz="4"/>
              <w:right w:val="single" w:color="C5D4E8" w:sz="4"/>
            </w:tcBorders>
            <w:shd w:fill="0D1B2A" w:val="clear"/>
            <w:tcMar>
              <w:top w:type="dxa" w:w="110"/>
              <w:left w:type="dxa" w:w="170"/>
              <w:bottom w:type="dxa" w:w="110"/>
              <w:right w:type="dxa" w:w="170"/>
            </w:tcMar>
            <w:vAlign w:val="center"/>
          </w:tcPr>
          <w:p>
            <w:pPr>
              <w:spacing w:before="40" w:after="40"/>
              <w:jc w:val="center"/>
            </w:pPr>
            <w:r>
              <w:rPr>
                <w:rFonts w:ascii="Arial" w:cs="Arial" w:eastAsia="Arial" w:hAnsi="Arial"/>
                <w:b/>
                <w:bCs/>
                <w:i w:val="false"/>
                <w:iCs w:val="false"/>
                <w:color w:val="FFFFFF"/>
                <w:sz w:val="28"/>
                <w:szCs w:val="28"/>
              </w:rPr>
              <w:t xml:space="preserve">10.4</w:t>
            </w:r>
          </w:p>
        </w:tc>
        <w:tc>
          <w:tcPr>
            <w:tcW w:type="dxa" w:w="8660"/>
            <w:gridSpan w:val="1"/>
            <w:tcBorders>
              <w:top w:val="single" w:color="C5D4E8" w:sz="4"/>
              <w:left w:val="single" w:color="C5D4E8" w:sz="4"/>
              <w:bottom w:val="single" w:color="C5D4E8" w:sz="4"/>
              <w:right w:val="single" w:color="C5D4E8" w:sz="4"/>
            </w:tcBorders>
            <w:shd w:fill="0D1B2A"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8"/>
                <w:szCs w:val="28"/>
              </w:rPr>
              <w:t xml:space="preserve">Live Project Demos</w:t>
            </w:r>
          </w:p>
        </w:tc>
      </w:tr>
    </w:tbl>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5D4E8" w:sz="4"/>
              <w:left w:val="single" w:color="C5D4E8" w:sz="4"/>
              <w:bottom w:val="single" w:color="C5D4E8" w:sz="4"/>
              <w:right w:val="single" w:color="C5D4E8" w:sz="4"/>
            </w:tcBorders>
            <w:shd w:fill="E0F4F6"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006D77"/>
                <w:sz w:val="18"/>
                <w:szCs w:val="18"/>
              </w:rPr>
              <w:t xml:space="preserve">[Live Demo]   [Interactive Output]   [Portfolio Showcase]   [Real Work Evidence]</w:t>
            </w:r>
          </w:p>
        </w:tc>
      </w:tr>
    </w:tbl>
    <w:p>
      <w:pPr>
        <w:spacing w:before="0" w:after="200"/>
      </w:pPr>
    </w:p>
    <w:p>
      <w:pPr>
        <w:spacing w:before="0" w:after="60"/>
      </w:pPr>
      <w:r>
        <w:rPr>
          <w:rFonts w:ascii="Arial" w:cs="Arial" w:eastAsia="Arial" w:hAnsi="Arial"/>
          <w:b/>
          <w:bCs/>
          <w:color w:val="006D77"/>
          <w:sz w:val="24"/>
          <w:szCs w:val="24"/>
        </w:rPr>
        <w:t xml:space="preserve">Purpose</w:t>
      </w:r>
    </w:p>
    <w:p>
      <w:pPr>
        <w:spacing w:before="40" w:after="200" w:line="280"/>
        <w:jc w:val="left"/>
      </w:pPr>
      <w:r>
        <w:rPr>
          <w:rFonts w:ascii="Arial" w:cs="Arial" w:eastAsia="Arial" w:hAnsi="Arial"/>
          <w:b w:val="false"/>
          <w:bCs w:val="false"/>
          <w:i/>
          <w:iCs/>
          <w:color w:val="555555"/>
          <w:sz w:val="22"/>
          <w:szCs w:val="22"/>
        </w:rPr>
        <w:t xml:space="preserve">Enable candidates to showcase interactive, live versions of their project outputs directly within the recruiter's profile review — allowing recruiters to interact with the actual work product rather than reading descriptions of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What It Does</w:t>
            </w:r>
          </w:p>
        </w:tc>
        <w:tc>
          <w:tcPr>
            <w:tcW w:type="dxa" w:w="75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Live Project Demos is the multimedia layer of the Project Portfolio Viewer. Where Feature 10.3 shows project descriptions and feedback, Live Project Demos allows students to embed or link live, interactive project outputs that recruiters can access and interact with directly from the candidate's profile. Supported demo formats include: Tableau Public dashboards (embedded interactive view), Streamlit or Flask web applications (external link with preview thumbnail), GitHub Pages projects (static site deployed from the candidate's repository), Jupyter Notebook viewers (read-only rendered notebook — no code execution risk), Google Data Studio / Looker Studio reports (embedded view with share permission), Power BI public reports (embedded link), and Video walkthroughs (3–5 minute screencap walkthrough of a project — uploaded to the platform's video player, max 100 MB). Each demo is linked to a specific Marketplace project record — it cannot exist as a standalone entry without a project record to anchor it.</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How It Works</w:t>
            </w:r>
          </w:p>
        </w:tc>
        <w:tc>
          <w:tcPr>
            <w:tcW w:type="dxa" w:w="7560"/>
            <w:gridSpan w:val="1"/>
            <w:tcBorders>
              <w:top w:val="single" w:color="C5D4E8" w:sz="4"/>
              <w:left w:val="single" w:color="C5D4E8" w:sz="4"/>
              <w:bottom w:val="single" w:color="C5D4E8" w:sz="4"/>
              <w:right w:val="single" w:color="C5D4E8" w:sz="4"/>
            </w:tcBorders>
            <w:shd w:fill="F6F6F6"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From the candidate's profile management view, they navigate to a Marketplace project → 'Add Demo Output' → select format from the supported list → paste the embed code or URL. The platform validates the link (checks it is publicly accessible, does not require login, loads within 5 seconds) and generates a preview thumbnail. On the recruiter side, the Live Demo appears as a 'View Live Demo' button on the project card with a format badge (Tableau / Streamlit / Notebook / Video). Clicking the button opens the demo in an embedded panel within the recruiter's profile view — no new tab required. For video walkthroughs, the video player loads within the panel with standard play controls. The demo is isolated in a sandboxed iframe — the recruiter cannot interact with any code execution environment. A report button allows recruiters to flag broken or inappropriate demos. Demos are cached for 24 hours to prevent performance issues with high-traffic profiles.</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Example</w:t>
            </w:r>
          </w:p>
        </w:tc>
        <w:tc>
          <w:tcPr>
            <w:tcW w:type="dxa" w:w="75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Live Demo Showcase — Rahul Sharma | Linked to DataCorp Analytics Dashboard Project:
Demo 1 — Tableau Public Dashboard
Format: Tableau Public [Embedded View]
Title: 'DataCorp Monthly Sales Analytics — Interactive Dashboard'
Dimensions: 5 views — Regional Performance, Product Category, Rep Leaderboard, Time Trend, Export Summary
URL: public.tableau.com/app/profile/rahulsharma/viz/DataCorpSales2025
[Preview thumbnail: shows the dashboard header and first regional view]
[View Live Demo — opens embedded Tableau panel]
Recruiter Interaction Log (TechSolutions — Divya Menon, 17 March 2026):
Demo viewed at: 2:14 PM for 7 minutes 34 seconds
Views explored: All 5 views confirmed accessed
Note left by recruiter: 'The Rep Leaderboard view is exactly the format we use internally — he understands our use case instinctively.'
Demo 2 — Video Walkthrough
Format: Video (Platform Player, 4 min 12 sec)
Title: 'SalesMetrics CRM Data Cleaning — Code Walkthrough'
Content: Rahul walks through his Python cleaning script, explains each transformation decision, and demonstrates the before/after data comparison
[Play Video — embedded platform player]
View count: 8 recruiters have viewed this walkthrough
Average view duration: 3 min 44 sec (89% completion rate)</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Why It Matters</w:t>
            </w:r>
          </w:p>
        </w:tc>
        <w:tc>
          <w:tcPr>
            <w:tcW w:type="dxa" w:w="7560"/>
            <w:gridSpan w:val="1"/>
            <w:tcBorders>
              <w:top w:val="single" w:color="C5D4E8" w:sz="4"/>
              <w:left w:val="single" w:color="C5D4E8" w:sz="4"/>
              <w:bottom w:val="single" w:color="C5D4E8" w:sz="4"/>
              <w:right w:val="single" w:color="C5D4E8" w:sz="4"/>
            </w:tcBorders>
            <w:shd w:fill="F6F6F6"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The difference between reading 'built an interactive Tableau dashboard with 5 views for DataCorp' and actually clicking through all 5 views of that dashboard — seeing the regional filter, the rep leaderboard, and the time trend animation — is the difference between a claim and a demonstration. A recruiter who spends 7 minutes interacting with a candidate's dashboard is performing the most authentic possible skills assessment: they are using the work. If it is good enough to use, it is good enough to hire. The 89% video walkthrough completion rate in the example above tells a different story than the statistic: 8 recruiters watched an average of 3 minutes 44 seconds of a 4-minute video about a data cleaning script. These are people who were genuinely interested in how the candidate thinks — not just what they produced.</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Visibility</w:t>
            </w:r>
          </w:p>
        </w:tc>
        <w:tc>
          <w:tcPr>
            <w:tcW w:type="dxa" w:w="75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Recruiter (views embedded demo within profile view — interaction logged). Candidate (manages their own demo links and uploads — sees view count). Platform Admin (all demo URLs for policy compliance monitoring). Public users cannot view demos — recruiter-authenticated access only (candidate's public portfolio page shows demo thumbnails with a 'Request Access' prompt for non-recruiters).</w:t>
            </w:r>
          </w:p>
        </w:tc>
      </w:tr>
    </w:tbl>
    <w:p>
      <w:pPr>
        <w:spacing w:before="200" w:after="0"/>
      </w:pPr>
    </w:p>
    <w:p>
      <w:pPr>
        <w:spacing w:before="240" w:after="80"/>
      </w:pPr>
      <w:r>
        <w:rPr>
          <w:rFonts w:ascii="Arial" w:cs="Arial" w:eastAsia="Arial" w:hAnsi="Arial"/>
          <w:b/>
          <w:bCs/>
          <w:color w:val="0D1B2A"/>
          <w:sz w:val="22"/>
          <w:szCs w:val="22"/>
        </w:rPr>
        <w:t xml:space="preserve">Implementation Checklist</w:t>
      </w:r>
    </w:p>
    <w:p>
      <w:pPr>
        <w:spacing w:before="40" w:after="40" w:line="280"/>
        <w:jc w:val="left"/>
      </w:pPr>
      <w:r>
        <w:rPr>
          <w:rFonts w:ascii="Arial" w:cs="Arial" w:eastAsia="Arial" w:hAnsi="Arial"/>
          <w:b w:val="false"/>
          <w:bCs w:val="false"/>
          <w:i w:val="false"/>
          <w:iCs w:val="false"/>
          <w:color w:val="1A1A1A"/>
          <w:sz w:val="20"/>
          <w:szCs w:val="20"/>
        </w:rPr>
        <w:t xml:space="preserve">☑  Supported formats: Tableau Public, Streamlit/Flask, GitHub Pages, Jupyter Notebook, Data Studio, Power BI, Video (100 MB max)</w:t>
      </w:r>
    </w:p>
    <w:p>
      <w:pPr>
        <w:spacing w:before="40" w:after="40" w:line="280"/>
        <w:jc w:val="left"/>
      </w:pPr>
      <w:r>
        <w:rPr>
          <w:rFonts w:ascii="Arial" w:cs="Arial" w:eastAsia="Arial" w:hAnsi="Arial"/>
          <w:b w:val="false"/>
          <w:bCs w:val="false"/>
          <w:i w:val="false"/>
          <w:iCs w:val="false"/>
          <w:color w:val="1A1A1A"/>
          <w:sz w:val="20"/>
          <w:szCs w:val="20"/>
        </w:rPr>
        <w:t xml:space="preserve">☑  Demo linked to a specific Marketplace project record — cannot exist as standalone</w:t>
      </w:r>
    </w:p>
    <w:p>
      <w:pPr>
        <w:spacing w:before="40" w:after="40" w:line="280"/>
        <w:jc w:val="left"/>
      </w:pPr>
      <w:r>
        <w:rPr>
          <w:rFonts w:ascii="Arial" w:cs="Arial" w:eastAsia="Arial" w:hAnsi="Arial"/>
          <w:b w:val="false"/>
          <w:bCs w:val="false"/>
          <w:i w:val="false"/>
          <w:iCs w:val="false"/>
          <w:color w:val="1A1A1A"/>
          <w:sz w:val="20"/>
          <w:szCs w:val="20"/>
        </w:rPr>
        <w:t xml:space="preserve">☑  Platform validation: link publicly accessible, no login required, loads within 5 seconds</w:t>
      </w:r>
    </w:p>
    <w:p>
      <w:pPr>
        <w:spacing w:before="40" w:after="40" w:line="280"/>
        <w:jc w:val="left"/>
      </w:pPr>
      <w:r>
        <w:rPr>
          <w:rFonts w:ascii="Arial" w:cs="Arial" w:eastAsia="Arial" w:hAnsi="Arial"/>
          <w:b w:val="false"/>
          <w:bCs w:val="false"/>
          <w:i w:val="false"/>
          <w:iCs w:val="false"/>
          <w:color w:val="1A1A1A"/>
          <w:sz w:val="20"/>
          <w:szCs w:val="20"/>
        </w:rPr>
        <w:t xml:space="preserve">☑  Demo opens in embedded sandboxed panel — no new tab required, no code execution</w:t>
      </w:r>
    </w:p>
    <w:p>
      <w:pPr>
        <w:spacing w:before="40" w:after="40" w:line="280"/>
        <w:jc w:val="left"/>
      </w:pPr>
      <w:r>
        <w:rPr>
          <w:rFonts w:ascii="Arial" w:cs="Arial" w:eastAsia="Arial" w:hAnsi="Arial"/>
          <w:b w:val="false"/>
          <w:bCs w:val="false"/>
          <w:i w:val="false"/>
          <w:iCs w:val="false"/>
          <w:color w:val="1A1A1A"/>
          <w:sz w:val="20"/>
          <w:szCs w:val="20"/>
        </w:rPr>
        <w:t xml:space="preserve">☑  Video walkthrough: platform player, 3–5 minute recommended, 100 MB upload limit</w:t>
      </w:r>
    </w:p>
    <w:p>
      <w:pPr>
        <w:spacing w:before="40" w:after="40" w:line="280"/>
        <w:jc w:val="left"/>
      </w:pPr>
      <w:r>
        <w:rPr>
          <w:rFonts w:ascii="Arial" w:cs="Arial" w:eastAsia="Arial" w:hAnsi="Arial"/>
          <w:b w:val="false"/>
          <w:bCs w:val="false"/>
          <w:i w:val="false"/>
          <w:iCs w:val="false"/>
          <w:color w:val="1A1A1A"/>
          <w:sz w:val="20"/>
          <w:szCs w:val="20"/>
        </w:rPr>
        <w:t xml:space="preserve">☑  Recruiter interaction logging: view time, duration, note capability</w:t>
      </w:r>
    </w:p>
    <w:p>
      <w:pPr>
        <w:spacing w:before="40" w:after="40" w:line="280"/>
        <w:jc w:val="left"/>
      </w:pPr>
      <w:r>
        <w:rPr>
          <w:rFonts w:ascii="Arial" w:cs="Arial" w:eastAsia="Arial" w:hAnsi="Arial"/>
          <w:b w:val="false"/>
          <w:bCs w:val="false"/>
          <w:i w:val="false"/>
          <w:iCs w:val="false"/>
          <w:color w:val="1A1A1A"/>
          <w:sz w:val="20"/>
          <w:szCs w:val="20"/>
        </w:rPr>
        <w:t xml:space="preserve">☑  Demo cached 24 hours — prevents performance degradation on high-traffic profiles</w:t>
      </w:r>
    </w:p>
    <w:p>
      <w:pPr>
        <w:spacing w:before="40" w:after="40" w:line="280"/>
        <w:jc w:val="left"/>
      </w:pPr>
      <w:r>
        <w:rPr>
          <w:rFonts w:ascii="Arial" w:cs="Arial" w:eastAsia="Arial" w:hAnsi="Arial"/>
          <w:b w:val="false"/>
          <w:bCs w:val="false"/>
          <w:i w:val="false"/>
          <w:iCs w:val="false"/>
          <w:color w:val="1A1A1A"/>
          <w:sz w:val="20"/>
          <w:szCs w:val="20"/>
        </w:rPr>
        <w:t xml:space="preserve">☑  Report button: recruiter can flag broken or policy-violating demo content</w:t>
      </w:r>
    </w:p>
    <w:p>
      <w:pPr>
        <w:pageBreakBefore/>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gridSpan w:val="1"/>
            <w:tcBorders>
              <w:top w:val="single" w:color="C5D4E8" w:sz="4"/>
              <w:left w:val="single" w:color="C5D4E8" w:sz="4"/>
              <w:bottom w:val="single" w:color="C5D4E8" w:sz="4"/>
              <w:right w:val="single" w:color="C5D4E8" w:sz="4"/>
            </w:tcBorders>
            <w:shd w:fill="0D1B2A" w:val="clear"/>
            <w:tcMar>
              <w:top w:type="dxa" w:w="110"/>
              <w:left w:type="dxa" w:w="170"/>
              <w:bottom w:type="dxa" w:w="110"/>
              <w:right w:type="dxa" w:w="170"/>
            </w:tcMar>
            <w:vAlign w:val="center"/>
          </w:tcPr>
          <w:p>
            <w:pPr>
              <w:spacing w:before="40" w:after="40"/>
              <w:jc w:val="center"/>
            </w:pPr>
            <w:r>
              <w:rPr>
                <w:rFonts w:ascii="Arial" w:cs="Arial" w:eastAsia="Arial" w:hAnsi="Arial"/>
                <w:b/>
                <w:bCs/>
                <w:i w:val="false"/>
                <w:iCs w:val="false"/>
                <w:color w:val="FFFFFF"/>
                <w:sz w:val="28"/>
                <w:szCs w:val="28"/>
              </w:rPr>
              <w:t xml:space="preserve">10.5</w:t>
            </w:r>
          </w:p>
        </w:tc>
        <w:tc>
          <w:tcPr>
            <w:tcW w:type="dxa" w:w="8660"/>
            <w:gridSpan w:val="1"/>
            <w:tcBorders>
              <w:top w:val="single" w:color="C5D4E8" w:sz="4"/>
              <w:left w:val="single" w:color="C5D4E8" w:sz="4"/>
              <w:bottom w:val="single" w:color="C5D4E8" w:sz="4"/>
              <w:right w:val="single" w:color="C5D4E8" w:sz="4"/>
            </w:tcBorders>
            <w:shd w:fill="0D1B2A"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8"/>
                <w:szCs w:val="28"/>
              </w:rPr>
              <w:t xml:space="preserve">Git Repository Integration</w:t>
            </w:r>
          </w:p>
        </w:tc>
      </w:tr>
    </w:tbl>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5D4E8" w:sz="4"/>
              <w:left w:val="single" w:color="C5D4E8" w:sz="4"/>
              <w:bottom w:val="single" w:color="C5D4E8" w:sz="4"/>
              <w:right w:val="single" w:color="C5D4E8" w:sz="4"/>
            </w:tcBorders>
            <w:shd w:fill="E0F4F6"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006D77"/>
                <w:sz w:val="18"/>
                <w:szCs w:val="18"/>
              </w:rPr>
              <w:t xml:space="preserve">[GitHub]   [Code Repository]   [Technical Verification]   [Open Source]</w:t>
            </w:r>
          </w:p>
        </w:tc>
      </w:tr>
    </w:tbl>
    <w:p>
      <w:pPr>
        <w:spacing w:before="0" w:after="200"/>
      </w:pPr>
    </w:p>
    <w:p>
      <w:pPr>
        <w:spacing w:before="0" w:after="60"/>
      </w:pPr>
      <w:r>
        <w:rPr>
          <w:rFonts w:ascii="Arial" w:cs="Arial" w:eastAsia="Arial" w:hAnsi="Arial"/>
          <w:b/>
          <w:bCs/>
          <w:color w:val="006D77"/>
          <w:sz w:val="24"/>
          <w:szCs w:val="24"/>
        </w:rPr>
        <w:t xml:space="preserve">Purpose</w:t>
      </w:r>
    </w:p>
    <w:p>
      <w:pPr>
        <w:spacing w:before="40" w:after="200" w:line="280"/>
        <w:jc w:val="left"/>
      </w:pPr>
      <w:r>
        <w:rPr>
          <w:rFonts w:ascii="Arial" w:cs="Arial" w:eastAsia="Arial" w:hAnsi="Arial"/>
          <w:b w:val="false"/>
          <w:bCs w:val="false"/>
          <w:i/>
          <w:iCs/>
          <w:color w:val="555555"/>
          <w:sz w:val="22"/>
          <w:szCs w:val="22"/>
        </w:rPr>
        <w:t xml:space="preserve">Allow candidates to connect their GitHub or GitLab profile to their EcoSkiller profile — giving recruiters direct access to real coding history, contribution patterns, and code quality evidence that no certification or self-declaration can replicate.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What It Does</w:t>
            </w:r>
          </w:p>
        </w:tc>
        <w:tc>
          <w:tcPr>
            <w:tcW w:type="dxa" w:w="75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Git Repository Integration connects a candidate's GitHub or GitLab public profile to their EcoSkiller profile — pulling verified, public-facing metrics and repository highlights directly into the candidate's portfolio view. The integration displays: total public repositories, total commits (trailing 12 months), languages used (top 5 by commit volume), contribution streak (longest consecutive contribution days — 12 months), starred repositories (most starred — an indicator of community recognition), pinned repositories (the 6 repositories the candidate has chosen to pin — with description, language, and star count), and contribution heatmap (52-week activity grid showing contribution density per day). For each pinned repository, the recruiter can see: the repository description, the top 3 contributing languages, the commit count, and a 'View on GitHub' link. The integration is read-only and pulls only public data — no private repositories, no personal account data beyond what is publicly visible on the candidate's GitHub profile.</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How It Works</w:t>
            </w:r>
          </w:p>
        </w:tc>
        <w:tc>
          <w:tcPr>
            <w:tcW w:type="dxa" w:w="7560"/>
            <w:gridSpan w:val="1"/>
            <w:tcBorders>
              <w:top w:val="single" w:color="C5D4E8" w:sz="4"/>
              <w:left w:val="single" w:color="C5D4E8" w:sz="4"/>
              <w:bottom w:val="single" w:color="C5D4E8" w:sz="4"/>
              <w:right w:val="single" w:color="C5D4E8" w:sz="4"/>
            </w:tcBorders>
            <w:shd w:fill="F6F6F6"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Candidate connects their GitHub account from their profile settings → 'Integrations' → 'Connect GitHub.' An OAuth flow opens — the candidate authorises EcoSkiller to read their public profile data (no write access, no private repo access). On authorisation, the integration pulls and displays the metrics immediately. Data refreshes every 24 hours. On the recruiter side, the Git Repository section appears as a tab in the candidate's profile alongside Projects and Certifications. The contribution heatmap is interactive — recruiter can hover over any week to see the contribution count for that week. The pinned repository list allows the recruiter to filter by language: 'Show only Python repos,' 'Show only Data/Analytics repos.' A quick summary banner at the top of the Git section shows: most used language, longest streak, and total commits (12 months) — the three signals most relevant to technical hiring.</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Example</w:t>
            </w:r>
          </w:p>
        </w:tc>
        <w:tc>
          <w:tcPr>
            <w:tcW w:type="dxa" w:w="75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Git Repository Integration — Rahul Sharma | Connected: github.com/rahulsharma-data | Last synced: 10 March 2026
Summary Banner:
Most used language: Python (62% of commits) | Longest streak: 34 consecutive days | 12-month commits: 847
Top Languages (by commit volume):
Python: 62% | SQL: 18% | JavaScript: 9% | Shell: 7% | Markdown: 4%
Contribution Activity (last 12 months):
847 total contributions | Heatmap: Consistent daily activity visible — highest density in Oct–Dec 2025 (Marketplace project period), lower in Jan–Feb 2026 (post-project recovery)
Pinned Repositories (6):
1. datacorp-dashboard-analysis | Python, Tableau | 23 stars | 'Tableau dashboard and Python preprocessing pipeline for DataCorp monthly sales analysis — Marketplace project output.'
2. sql-practice-problems | SQL | 41 stars | 'Collection of solved SQL practice problems — window functions, CTEs, optimisation exercises. Shared for community use.'
3. pandas-cleaning-scripts | Python | 18 stars | 'Reusable data cleaning functions in pandas — handles common CRM export issues. Born from the SalesMetrics project.'
4. ecoskiller-dojo-solutions | Python, SQL | 9 stars | 'My EcoSkiller Dojo challenge solutions — shared for transparency and peer learning.'
5. learning-tableau | Tableau | 6 stars | 'Practice workbooks from Tableau Basics LMS course — shared for beginners.'
6. python-decorators-study | Python | 3 stars | 'Notes and exercises on Python decorators and advanced functions — addressing my assessment gap.'
Recruiter observation: Repository 6 ('python-decorators-study') was created 8 days after the TechSolutions assessment — Rahul independently began addressing the identified gap.</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Why It Matters</w:t>
            </w:r>
          </w:p>
        </w:tc>
        <w:tc>
          <w:tcPr>
            <w:tcW w:type="dxa" w:w="7560"/>
            <w:gridSpan w:val="1"/>
            <w:tcBorders>
              <w:top w:val="single" w:color="C5D4E8" w:sz="4"/>
              <w:left w:val="single" w:color="C5D4E8" w:sz="4"/>
              <w:bottom w:val="single" w:color="C5D4E8" w:sz="4"/>
              <w:right w:val="single" w:color="C5D4E8" w:sz="4"/>
            </w:tcBorders>
            <w:shd w:fill="F6F6F6"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A contribution streak of 34 consecutive days is not a statistic — it is evidence of professional discipline. A recruiter who sees that a candidate created a repository addressing their identified assessment gap 8 days after the assessment is seeing something that no interview question can reveal: self-directed improvement motivated by honest feedback. The sql-practice-problems repository with 41 stars tells a different story: this is a candidate who solved problems good enough that 41 other developers bookmarked their work. Community recognition of code quality is one of the most reliable signals in technical hiring — it is peer validation without any platform intermediation. The contribution heatmap is equally telling: high density during the Marketplace project period (Oct–Dec) shows that the project work is visible in the coding history. The story is consistent.</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Visibility</w:t>
            </w:r>
          </w:p>
        </w:tc>
        <w:tc>
          <w:tcPr>
            <w:tcW w:type="dxa" w:w="75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Recruiter (full Git integration view — all public data pulled from GitHub/GitLab). Candidate (manages their connected account — can disconnect at any time). Platform Admin (integration data for analytics — does not access private repos). Public profile visitors (contribution heatmap and pinned repo summary visible on public profile). Integration reads public data only — no private repositories, no write access.</w:t>
            </w:r>
          </w:p>
        </w:tc>
      </w:tr>
    </w:tbl>
    <w:p>
      <w:pPr>
        <w:spacing w:before="200" w:after="0"/>
      </w:pPr>
    </w:p>
    <w:p>
      <w:pPr>
        <w:spacing w:before="240" w:after="80"/>
      </w:pPr>
      <w:r>
        <w:rPr>
          <w:rFonts w:ascii="Arial" w:cs="Arial" w:eastAsia="Arial" w:hAnsi="Arial"/>
          <w:b/>
          <w:bCs/>
          <w:color w:val="0D1B2A"/>
          <w:sz w:val="22"/>
          <w:szCs w:val="22"/>
        </w:rPr>
        <w:t xml:space="preserve">Implementation Checklist</w:t>
      </w:r>
    </w:p>
    <w:p>
      <w:pPr>
        <w:spacing w:before="40" w:after="40" w:line="280"/>
        <w:jc w:val="left"/>
      </w:pPr>
      <w:r>
        <w:rPr>
          <w:rFonts w:ascii="Arial" w:cs="Arial" w:eastAsia="Arial" w:hAnsi="Arial"/>
          <w:b w:val="false"/>
          <w:bCs w:val="false"/>
          <w:i w:val="false"/>
          <w:iCs w:val="false"/>
          <w:color w:val="1A1A1A"/>
          <w:sz w:val="20"/>
          <w:szCs w:val="20"/>
        </w:rPr>
        <w:t xml:space="preserve">☑  OAuth connection: GitHub and GitLab supported — read-only, public data only, no private repo access</w:t>
      </w:r>
    </w:p>
    <w:p>
      <w:pPr>
        <w:spacing w:before="40" w:after="40" w:line="280"/>
        <w:jc w:val="left"/>
      </w:pPr>
      <w:r>
        <w:rPr>
          <w:rFonts w:ascii="Arial" w:cs="Arial" w:eastAsia="Arial" w:hAnsi="Arial"/>
          <w:b w:val="false"/>
          <w:bCs w:val="false"/>
          <w:i w:val="false"/>
          <w:iCs w:val="false"/>
          <w:color w:val="1A1A1A"/>
          <w:sz w:val="20"/>
          <w:szCs w:val="20"/>
        </w:rPr>
        <w:t xml:space="preserve">☑  Data pulled: public repos, 12-month commits, top 5 languages, contribution streak, pinned repos, stars</w:t>
      </w:r>
    </w:p>
    <w:p>
      <w:pPr>
        <w:spacing w:before="40" w:after="40" w:line="280"/>
        <w:jc w:val="left"/>
      </w:pPr>
      <w:r>
        <w:rPr>
          <w:rFonts w:ascii="Arial" w:cs="Arial" w:eastAsia="Arial" w:hAnsi="Arial"/>
          <w:b w:val="false"/>
          <w:bCs w:val="false"/>
          <w:i w:val="false"/>
          <w:iCs w:val="false"/>
          <w:color w:val="1A1A1A"/>
          <w:sz w:val="20"/>
          <w:szCs w:val="20"/>
        </w:rPr>
        <w:t xml:space="preserve">☑  Contribution heatmap: 52-week interactive grid — hover to see week-level commit count</w:t>
      </w:r>
    </w:p>
    <w:p>
      <w:pPr>
        <w:spacing w:before="40" w:after="40" w:line="280"/>
        <w:jc w:val="left"/>
      </w:pPr>
      <w:r>
        <w:rPr>
          <w:rFonts w:ascii="Arial" w:cs="Arial" w:eastAsia="Arial" w:hAnsi="Arial"/>
          <w:b w:val="false"/>
          <w:bCs w:val="false"/>
          <w:i w:val="false"/>
          <w:iCs w:val="false"/>
          <w:color w:val="1A1A1A"/>
          <w:sz w:val="20"/>
          <w:szCs w:val="20"/>
        </w:rPr>
        <w:t xml:space="preserve">☑  Pinned repository filter: by language category (Python, SQL, Data, etc.)</w:t>
      </w:r>
    </w:p>
    <w:p>
      <w:pPr>
        <w:spacing w:before="40" w:after="40" w:line="280"/>
        <w:jc w:val="left"/>
      </w:pPr>
      <w:r>
        <w:rPr>
          <w:rFonts w:ascii="Arial" w:cs="Arial" w:eastAsia="Arial" w:hAnsi="Arial"/>
          <w:b w:val="false"/>
          <w:bCs w:val="false"/>
          <w:i w:val="false"/>
          <w:iCs w:val="false"/>
          <w:color w:val="1A1A1A"/>
          <w:sz w:val="20"/>
          <w:szCs w:val="20"/>
        </w:rPr>
        <w:t xml:space="preserve">☑  Summary banner: most used language, longest streak, 12-month total commits</w:t>
      </w:r>
    </w:p>
    <w:p>
      <w:pPr>
        <w:spacing w:before="40" w:after="40" w:line="280"/>
        <w:jc w:val="left"/>
      </w:pPr>
      <w:r>
        <w:rPr>
          <w:rFonts w:ascii="Arial" w:cs="Arial" w:eastAsia="Arial" w:hAnsi="Arial"/>
          <w:b w:val="false"/>
          <w:bCs w:val="false"/>
          <w:i w:val="false"/>
          <w:iCs w:val="false"/>
          <w:color w:val="1A1A1A"/>
          <w:sz w:val="20"/>
          <w:szCs w:val="20"/>
        </w:rPr>
        <w:t xml:space="preserve">☑  Data refresh: every 24 hours — recruiter sees last sync timestamp</w:t>
      </w:r>
    </w:p>
    <w:p>
      <w:pPr>
        <w:spacing w:before="40" w:after="40" w:line="280"/>
        <w:jc w:val="left"/>
      </w:pPr>
      <w:r>
        <w:rPr>
          <w:rFonts w:ascii="Arial" w:cs="Arial" w:eastAsia="Arial" w:hAnsi="Arial"/>
          <w:b w:val="false"/>
          <w:bCs w:val="false"/>
          <w:i w:val="false"/>
          <w:iCs w:val="false"/>
          <w:color w:val="1A1A1A"/>
          <w:sz w:val="20"/>
          <w:szCs w:val="20"/>
        </w:rPr>
        <w:t xml:space="preserve">☑  Candidate can disconnect integration at any time — data removed from profile within 24 hours</w:t>
      </w:r>
    </w:p>
    <w:p>
      <w:pPr>
        <w:spacing w:before="40" w:after="40" w:line="280"/>
        <w:jc w:val="left"/>
      </w:pPr>
      <w:r>
        <w:rPr>
          <w:rFonts w:ascii="Arial" w:cs="Arial" w:eastAsia="Arial" w:hAnsi="Arial"/>
          <w:b w:val="false"/>
          <w:bCs w:val="false"/>
          <w:i w:val="false"/>
          <w:iCs w:val="false"/>
          <w:color w:val="1A1A1A"/>
          <w:sz w:val="20"/>
          <w:szCs w:val="20"/>
        </w:rPr>
        <w:t xml:space="preserve">☑  'View on GitHub' link per repository — recruiter can access full repo in new tab</w:t>
      </w:r>
    </w:p>
    <w:p>
      <w:pPr>
        <w:pageBreakBefore/>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gridSpan w:val="1"/>
            <w:tcBorders>
              <w:top w:val="single" w:color="C5D4E8" w:sz="4"/>
              <w:left w:val="single" w:color="C5D4E8" w:sz="4"/>
              <w:bottom w:val="single" w:color="C5D4E8" w:sz="4"/>
              <w:right w:val="single" w:color="C5D4E8" w:sz="4"/>
            </w:tcBorders>
            <w:shd w:fill="0D1B2A" w:val="clear"/>
            <w:tcMar>
              <w:top w:type="dxa" w:w="110"/>
              <w:left w:type="dxa" w:w="170"/>
              <w:bottom w:type="dxa" w:w="110"/>
              <w:right w:type="dxa" w:w="170"/>
            </w:tcMar>
            <w:vAlign w:val="center"/>
          </w:tcPr>
          <w:p>
            <w:pPr>
              <w:spacing w:before="40" w:after="40"/>
              <w:jc w:val="center"/>
            </w:pPr>
            <w:r>
              <w:rPr>
                <w:rFonts w:ascii="Arial" w:cs="Arial" w:eastAsia="Arial" w:hAnsi="Arial"/>
                <w:b/>
                <w:bCs/>
                <w:i w:val="false"/>
                <w:iCs w:val="false"/>
                <w:color w:val="FFFFFF"/>
                <w:sz w:val="28"/>
                <w:szCs w:val="28"/>
              </w:rPr>
              <w:t xml:space="preserve">10.6</w:t>
            </w:r>
          </w:p>
        </w:tc>
        <w:tc>
          <w:tcPr>
            <w:tcW w:type="dxa" w:w="8660"/>
            <w:gridSpan w:val="1"/>
            <w:tcBorders>
              <w:top w:val="single" w:color="C5D4E8" w:sz="4"/>
              <w:left w:val="single" w:color="C5D4E8" w:sz="4"/>
              <w:bottom w:val="single" w:color="C5D4E8" w:sz="4"/>
              <w:right w:val="single" w:color="C5D4E8" w:sz="4"/>
            </w:tcBorders>
            <w:shd w:fill="0D1B2A"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8"/>
                <w:szCs w:val="28"/>
              </w:rPr>
              <w:t xml:space="preserve">Certification Verification</w:t>
            </w:r>
          </w:p>
        </w:tc>
      </w:tr>
    </w:tbl>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5D4E8" w:sz="4"/>
              <w:left w:val="single" w:color="C5D4E8" w:sz="4"/>
              <w:bottom w:val="single" w:color="C5D4E8" w:sz="4"/>
              <w:right w:val="single" w:color="C5D4E8" w:sz="4"/>
            </w:tcBorders>
            <w:shd w:fill="E0F4F6"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006D77"/>
                <w:sz w:val="18"/>
                <w:szCs w:val="18"/>
              </w:rPr>
              <w:t xml:space="preserve">[Certifications]   [Verified Credentials]   [External Certificates]   [Trust Signals]</w:t>
            </w:r>
          </w:p>
        </w:tc>
      </w:tr>
    </w:tbl>
    <w:p>
      <w:pPr>
        <w:spacing w:before="0" w:after="200"/>
      </w:pPr>
    </w:p>
    <w:p>
      <w:pPr>
        <w:spacing w:before="0" w:after="60"/>
      </w:pPr>
      <w:r>
        <w:rPr>
          <w:rFonts w:ascii="Arial" w:cs="Arial" w:eastAsia="Arial" w:hAnsi="Arial"/>
          <w:b/>
          <w:bCs/>
          <w:color w:val="006D77"/>
          <w:sz w:val="24"/>
          <w:szCs w:val="24"/>
        </w:rPr>
        <w:t xml:space="preserve">Purpose</w:t>
      </w:r>
    </w:p>
    <w:p>
      <w:pPr>
        <w:spacing w:before="40" w:after="200" w:line="280"/>
        <w:jc w:val="left"/>
      </w:pPr>
      <w:r>
        <w:rPr>
          <w:rFonts w:ascii="Arial" w:cs="Arial" w:eastAsia="Arial" w:hAnsi="Arial"/>
          <w:b w:val="false"/>
          <w:bCs w:val="false"/>
          <w:i/>
          <w:iCs/>
          <w:color w:val="555555"/>
          <w:sz w:val="22"/>
          <w:szCs w:val="22"/>
        </w:rPr>
        <w:t xml:space="preserve">Provide recruiters with a verified, single-source view of all certificates a candidate holds — both platform-issued and externally earned — with a clear distinction between verified and self-declared credentials and direct access to verification URLs.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What It Does</w:t>
            </w:r>
          </w:p>
        </w:tc>
        <w:tc>
          <w:tcPr>
            <w:tcW w:type="dxa" w:w="75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Certification Verification aggregates all certificates a candidate has earned or declared into a single, trust-tiered display. Three certificate types are shown: Platform Certificates (EcoSkiller LMS completion certificates and assessment passing certificates — the highest trust tier, verifiable directly on the platform), External Verified Certificates (certificates from recognised external providers — AWS, Google, Microsoft, Coursera, NPTEL, NSDC, etc. — where the candidate has provided a valid verification URL or credential ID that the platform has validated), and Self-Declared Certificates (certificates the candidate has listed without a verifiable credential ID or URL — lowest trust tier). For each external verified certificate, the platform performs an automatic link check: if the verification URL is valid and the certificate record is publicly accessible, the certificate receives a 'Link Verified' badge. The recruiter sees: certificate name, issuing body, issue date, expiry date (if applicable), and a 'Verify Now' button that opens the certificate verification page directly.</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How It Works</w:t>
            </w:r>
          </w:p>
        </w:tc>
        <w:tc>
          <w:tcPr>
            <w:tcW w:type="dxa" w:w="7560"/>
            <w:gridSpan w:val="1"/>
            <w:tcBorders>
              <w:top w:val="single" w:color="C5D4E8" w:sz="4"/>
              <w:left w:val="single" w:color="C5D4E8" w:sz="4"/>
              <w:bottom w:val="single" w:color="C5D4E8" w:sz="4"/>
              <w:right w:val="single" w:color="C5D4E8" w:sz="4"/>
            </w:tcBorders>
            <w:shd w:fill="F6F6F6"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On the candidate's profile, the Certifications tab shows a full list of all certificates in trust tier order: platform certificates first (auto-populated from LMS completions), external verified second (candidate-entered with URL), self-declared last. A certificate count badge per tier is shown in the tab header: 'Certifications (8 Platform / 3 External Verified / 2 Self-Declared).' Each certificate card shows: name, issuing body, issue date, trust tier badge, and a 'Verify' button. The platform runs daily checks on all external verification URLs — if a URL returns a 404 or the certificate record is no longer accessible, the 'Link Verified' badge is replaced with a 'Verification Link Broken — candidate to update' warning. Recruiters can click 'Flag Discrepancy' on any certificate if they believe the certificate details are inaccurate — this sends a review request to platform admin. Expired certificates are displayed with an 'Expired' badge but are not removed — they represent the candidate's history.</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Example</w:t>
            </w:r>
          </w:p>
        </w:tc>
        <w:tc>
          <w:tcPr>
            <w:tcW w:type="dxa" w:w="75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Certifications — Rahul Sharma | March 2026:
PLATFORM CERTIFICATES (8) [Highest Trust]
Python Advanced — EcoSkiller LMS | Completed 12 Dec 2025 | Score: 91/100 | [View Certificate]
SQL Fundamentals — EcoSkiller LMS | Completed 04 Oct 2025 | Score: 88/100 | [View Certificate]
Tableau Basics — EcoSkiller LMS | Completed 18 Nov 2025 | Score: 85/100 | [View Certificate]
Data Cleaning with Pandas — EcoSkiller LMS | Completed 08 Jan 2026 | [View Certificate]
Data Visualisation Principles — EcoSkiller LMS | Completed 22 Jan 2026 | [View Certificate]
Business Communication — EcoSkiller LMS | Completed 15 Sep 2025 | [View Certificate]
Project Management Fundamentals — EcoSkiller LMS | Completed 30 Oct 2025 | [View Certificate]
GD Readiness Certificate — EcoSkiller Platform | Issued 10 March 2026 | [Verify: ecoskiller.in/verify/GDC-2026-00892]
EXTERNAL VERIFIED CERTIFICATES (2) [Link Verified]
NPTEL: Data Science for Engineers — IIT Madras | Completed Aug 2025 | Elite Score: 82% | Credential: nptel.ac.in/noc/Ecertificate/?q=NPTEL25... [Link Verified ✓]
Cisco Networking Basics — Cisco NetAcad | Completed Jun 2025 | [Link Verified ✓]
SELF-DECLARED CERTIFICATES (2) [Unverified]
Google Analytics Fundamentals — Google | Claimed Jan 2026 | No verification URL provided
Microsoft Excel Specialist — Claimed Dec 2024 | No verification URL provided</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Why It Matters</w:t>
            </w:r>
          </w:p>
        </w:tc>
        <w:tc>
          <w:tcPr>
            <w:tcW w:type="dxa" w:w="7560"/>
            <w:gridSpan w:val="1"/>
            <w:tcBorders>
              <w:top w:val="single" w:color="C5D4E8" w:sz="4"/>
              <w:left w:val="single" w:color="C5D4E8" w:sz="4"/>
              <w:bottom w:val="single" w:color="C5D4E8" w:sz="4"/>
              <w:right w:val="single" w:color="C5D4E8" w:sz="4"/>
            </w:tcBorders>
            <w:shd w:fill="F6F6F6"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In the current hiring environment, certificate fraud is a real and growing problem — candidates list certificates they did not earn, and recruiters have no time to manually verify each one. The trust-tier system eliminates the verification burden: platform certificates are inherently authentic (the platform issued them), external verified certificates have been programmatically checked, and self-declared certificates are clearly labelled as unverified. The recruiter does not need to verify anything manually — the trust label tells them exactly how much weight to give each certificate. The daily URL check that catches broken verification links prevents a certificate listed 6 months ago from continuing to show 'Link Verified' if the issuing body has changed their URL structure. This is the only way to maintain honest, current verification status at scale.</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Visibility</w:t>
            </w:r>
          </w:p>
        </w:tc>
        <w:tc>
          <w:tcPr>
            <w:tcW w:type="dxa" w:w="75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Recruiter (all certificates with trust tier labels and verify buttons). Candidate (manages their own certificates — can add/update external cert URLs). Platform Admin (runs verification checks, handles discrepancy flags). Public Profile (certificate count per tier visible — not full list, to prevent CV scraping). 'Flag Discrepancy' button visible to recruiter — sends alert to admin for review.</w:t>
            </w:r>
          </w:p>
        </w:tc>
      </w:tr>
    </w:tbl>
    <w:p>
      <w:pPr>
        <w:spacing w:before="200" w:after="0"/>
      </w:pPr>
    </w:p>
    <w:p>
      <w:pPr>
        <w:spacing w:before="240" w:after="80"/>
      </w:pPr>
      <w:r>
        <w:rPr>
          <w:rFonts w:ascii="Arial" w:cs="Arial" w:eastAsia="Arial" w:hAnsi="Arial"/>
          <w:b/>
          <w:bCs/>
          <w:color w:val="0D1B2A"/>
          <w:sz w:val="22"/>
          <w:szCs w:val="22"/>
        </w:rPr>
        <w:t xml:space="preserve">Implementation Checklist</w:t>
      </w:r>
    </w:p>
    <w:p>
      <w:pPr>
        <w:spacing w:before="40" w:after="40" w:line="280"/>
        <w:jc w:val="left"/>
      </w:pPr>
      <w:r>
        <w:rPr>
          <w:rFonts w:ascii="Arial" w:cs="Arial" w:eastAsia="Arial" w:hAnsi="Arial"/>
          <w:b w:val="false"/>
          <w:bCs w:val="false"/>
          <w:i w:val="false"/>
          <w:iCs w:val="false"/>
          <w:color w:val="1A1A1A"/>
          <w:sz w:val="20"/>
          <w:szCs w:val="20"/>
        </w:rPr>
        <w:t xml:space="preserve">☑  Three certificate tiers: Platform (auto-populated), External Verified (URL-checked), Self-Declared</w:t>
      </w:r>
    </w:p>
    <w:p>
      <w:pPr>
        <w:spacing w:before="40" w:after="40" w:line="280"/>
        <w:jc w:val="left"/>
      </w:pPr>
      <w:r>
        <w:rPr>
          <w:rFonts w:ascii="Arial" w:cs="Arial" w:eastAsia="Arial" w:hAnsi="Arial"/>
          <w:b w:val="false"/>
          <w:bCs w:val="false"/>
          <w:i w:val="false"/>
          <w:iCs w:val="false"/>
          <w:color w:val="1A1A1A"/>
          <w:sz w:val="20"/>
          <w:szCs w:val="20"/>
        </w:rPr>
        <w:t xml:space="preserve">☑  Certificate count badge per tier in tab header</w:t>
      </w:r>
    </w:p>
    <w:p>
      <w:pPr>
        <w:spacing w:before="40" w:after="40" w:line="280"/>
        <w:jc w:val="left"/>
      </w:pPr>
      <w:r>
        <w:rPr>
          <w:rFonts w:ascii="Arial" w:cs="Arial" w:eastAsia="Arial" w:hAnsi="Arial"/>
          <w:b w:val="false"/>
          <w:bCs w:val="false"/>
          <w:i w:val="false"/>
          <w:iCs w:val="false"/>
          <w:color w:val="1A1A1A"/>
          <w:sz w:val="20"/>
          <w:szCs w:val="20"/>
        </w:rPr>
        <w:t xml:space="preserve">☑  External URL validation: daily automated link check — broken links flagged to candidate</w:t>
      </w:r>
    </w:p>
    <w:p>
      <w:pPr>
        <w:spacing w:before="40" w:after="40" w:line="280"/>
        <w:jc w:val="left"/>
      </w:pPr>
      <w:r>
        <w:rPr>
          <w:rFonts w:ascii="Arial" w:cs="Arial" w:eastAsia="Arial" w:hAnsi="Arial"/>
          <w:b w:val="false"/>
          <w:bCs w:val="false"/>
          <w:i w:val="false"/>
          <w:iCs w:val="false"/>
          <w:color w:val="1A1A1A"/>
          <w:sz w:val="20"/>
          <w:szCs w:val="20"/>
        </w:rPr>
        <w:t xml:space="preserve">☑  'Verify Now' button: opens external verification page directly in new tab</w:t>
      </w:r>
    </w:p>
    <w:p>
      <w:pPr>
        <w:spacing w:before="40" w:after="40" w:line="280"/>
        <w:jc w:val="left"/>
      </w:pPr>
      <w:r>
        <w:rPr>
          <w:rFonts w:ascii="Arial" w:cs="Arial" w:eastAsia="Arial" w:hAnsi="Arial"/>
          <w:b w:val="false"/>
          <w:bCs w:val="false"/>
          <w:i w:val="false"/>
          <w:iCs w:val="false"/>
          <w:color w:val="1A1A1A"/>
          <w:sz w:val="20"/>
          <w:szCs w:val="20"/>
        </w:rPr>
        <w:t xml:space="preserve">☑  Expired certificates: displayed with 'Expired' badge — not removed from history</w:t>
      </w:r>
    </w:p>
    <w:p>
      <w:pPr>
        <w:spacing w:before="40" w:after="40" w:line="280"/>
        <w:jc w:val="left"/>
      </w:pPr>
      <w:r>
        <w:rPr>
          <w:rFonts w:ascii="Arial" w:cs="Arial" w:eastAsia="Arial" w:hAnsi="Arial"/>
          <w:b w:val="false"/>
          <w:bCs w:val="false"/>
          <w:i w:val="false"/>
          <w:iCs w:val="false"/>
          <w:color w:val="1A1A1A"/>
          <w:sz w:val="20"/>
          <w:szCs w:val="20"/>
        </w:rPr>
        <w:t xml:space="preserve">☑  'Flag Discrepancy' button: recruiter can flag suspected inaccurate certificates for admin review</w:t>
      </w:r>
    </w:p>
    <w:p>
      <w:pPr>
        <w:spacing w:before="40" w:after="40" w:line="280"/>
        <w:jc w:val="left"/>
      </w:pPr>
      <w:r>
        <w:rPr>
          <w:rFonts w:ascii="Arial" w:cs="Arial" w:eastAsia="Arial" w:hAnsi="Arial"/>
          <w:b w:val="false"/>
          <w:bCs w:val="false"/>
          <w:i w:val="false"/>
          <w:iCs w:val="false"/>
          <w:color w:val="1A1A1A"/>
          <w:sz w:val="20"/>
          <w:szCs w:val="20"/>
        </w:rPr>
        <w:t xml:space="preserve">☑  Platform certificate direct link: recruiter can verify EcoSkiller certificates at platform verification URL</w:t>
      </w:r>
    </w:p>
    <w:p>
      <w:pPr>
        <w:spacing w:before="40" w:after="40" w:line="280"/>
        <w:jc w:val="left"/>
      </w:pPr>
      <w:r>
        <w:rPr>
          <w:rFonts w:ascii="Arial" w:cs="Arial" w:eastAsia="Arial" w:hAnsi="Arial"/>
          <w:b w:val="false"/>
          <w:bCs w:val="false"/>
          <w:i w:val="false"/>
          <w:iCs w:val="false"/>
          <w:color w:val="1A1A1A"/>
          <w:sz w:val="20"/>
          <w:szCs w:val="20"/>
        </w:rPr>
        <w:t xml:space="preserve">☑  Self-declared certificates clearly labelled — recruiter sees unverified status at a glance</w:t>
      </w:r>
    </w:p>
    <w:p>
      <w:pPr>
        <w:pageBreakBefore/>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gridSpan w:val="1"/>
            <w:tcBorders>
              <w:top w:val="single" w:color="C5D4E8" w:sz="4"/>
              <w:left w:val="single" w:color="C5D4E8" w:sz="4"/>
              <w:bottom w:val="single" w:color="C5D4E8" w:sz="4"/>
              <w:right w:val="single" w:color="C5D4E8" w:sz="4"/>
            </w:tcBorders>
            <w:shd w:fill="0D1B2A" w:val="clear"/>
            <w:tcMar>
              <w:top w:type="dxa" w:w="110"/>
              <w:left w:type="dxa" w:w="170"/>
              <w:bottom w:type="dxa" w:w="110"/>
              <w:right w:type="dxa" w:w="170"/>
            </w:tcMar>
            <w:vAlign w:val="center"/>
          </w:tcPr>
          <w:p>
            <w:pPr>
              <w:spacing w:before="40" w:after="40"/>
              <w:jc w:val="center"/>
            </w:pPr>
            <w:r>
              <w:rPr>
                <w:rFonts w:ascii="Arial" w:cs="Arial" w:eastAsia="Arial" w:hAnsi="Arial"/>
                <w:b/>
                <w:bCs/>
                <w:i w:val="false"/>
                <w:iCs w:val="false"/>
                <w:color w:val="FFFFFF"/>
                <w:sz w:val="28"/>
                <w:szCs w:val="28"/>
              </w:rPr>
              <w:t xml:space="preserve">10.7</w:t>
            </w:r>
          </w:p>
        </w:tc>
        <w:tc>
          <w:tcPr>
            <w:tcW w:type="dxa" w:w="8660"/>
            <w:gridSpan w:val="1"/>
            <w:tcBorders>
              <w:top w:val="single" w:color="C5D4E8" w:sz="4"/>
              <w:left w:val="single" w:color="C5D4E8" w:sz="4"/>
              <w:bottom w:val="single" w:color="C5D4E8" w:sz="4"/>
              <w:right w:val="single" w:color="C5D4E8" w:sz="4"/>
            </w:tcBorders>
            <w:shd w:fill="0D1B2A"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8"/>
                <w:szCs w:val="28"/>
              </w:rPr>
              <w:t xml:space="preserve">Competition Achievements</w:t>
            </w:r>
          </w:p>
        </w:tc>
      </w:tr>
    </w:tbl>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5D4E8" w:sz="4"/>
              <w:left w:val="single" w:color="C5D4E8" w:sz="4"/>
              <w:bottom w:val="single" w:color="C5D4E8" w:sz="4"/>
              <w:right w:val="single" w:color="C5D4E8" w:sz="4"/>
            </w:tcBorders>
            <w:shd w:fill="E0F4F6"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006D77"/>
                <w:sz w:val="18"/>
                <w:szCs w:val="18"/>
              </w:rPr>
              <w:t xml:space="preserve">[Competitions]   [Awards]   [Ranked Performance]   [Beyond-Curriculum Evidence]</w:t>
            </w:r>
          </w:p>
        </w:tc>
      </w:tr>
    </w:tbl>
    <w:p>
      <w:pPr>
        <w:spacing w:before="0" w:after="200"/>
      </w:pPr>
    </w:p>
    <w:p>
      <w:pPr>
        <w:spacing w:before="0" w:after="60"/>
      </w:pPr>
      <w:r>
        <w:rPr>
          <w:rFonts w:ascii="Arial" w:cs="Arial" w:eastAsia="Arial" w:hAnsi="Arial"/>
          <w:b/>
          <w:bCs/>
          <w:color w:val="006D77"/>
          <w:sz w:val="24"/>
          <w:szCs w:val="24"/>
        </w:rPr>
        <w:t xml:space="preserve">Purpose</w:t>
      </w:r>
    </w:p>
    <w:p>
      <w:pPr>
        <w:spacing w:before="40" w:after="200" w:line="280"/>
        <w:jc w:val="left"/>
      </w:pPr>
      <w:r>
        <w:rPr>
          <w:rFonts w:ascii="Arial" w:cs="Arial" w:eastAsia="Arial" w:hAnsi="Arial"/>
          <w:b w:val="false"/>
          <w:bCs w:val="false"/>
          <w:i/>
          <w:iCs/>
          <w:color w:val="555555"/>
          <w:sz w:val="22"/>
          <w:szCs w:val="22"/>
        </w:rPr>
        <w:t xml:space="preserve">Surface a candidate's performance in academic and professional competitions — providing recruiters with evidence of validated, ranked performance that places the candidate on a competitive spectrum beyond their own cohort.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What It Does</w:t>
            </w:r>
          </w:p>
        </w:tc>
        <w:tc>
          <w:tcPr>
            <w:tcW w:type="dxa" w:w="75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Competition Achievements displays all competition results a candidate has declared and, where possible, platform-verified. The section covers: academic competitions (Olympiads, mathematics competitions, science fairs — national, state, or district level), professional skill competitions on the platform (EcoSkiller Tournaments — domain-specific ranked competitions available on the platform, with platform-verified results), external hackathons (offline or online — see Feature 10.8 for dedicated hackathon tracking), data competitions (Kaggle, Analytics Vidhya, Zindi — where the candidate has provided a profile link or submission result), academic project competitions (inter-college project competitions, IEEE project showcases, Smart India Hackathon), and domain-specific championships (chess, debate, quiz — which signal transferable analytical or communication skills). Each achievement shows: competition name, level (International / National / State / District / Institutional), rank achieved, participant pool size (if known), and verification source (platform record, self-declared, or external link).</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How It Works</w:t>
            </w:r>
          </w:p>
        </w:tc>
        <w:tc>
          <w:tcPr>
            <w:tcW w:type="dxa" w:w="7560"/>
            <w:gridSpan w:val="1"/>
            <w:tcBorders>
              <w:top w:val="single" w:color="C5D4E8" w:sz="4"/>
              <w:left w:val="single" w:color="C5D4E8" w:sz="4"/>
              <w:bottom w:val="single" w:color="C5D4E8" w:sz="4"/>
              <w:right w:val="single" w:color="C5D4E8" w:sz="4"/>
            </w:tcBorders>
            <w:shd w:fill="F6F6F6"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The Competitions section of the candidate's profile is displayed as an achievement card gallery — each card visually styled to emphasise the rank (Gold for 1st, Silver for 2nd-3rd, Bronze for top 10%, Blue for participation). Platform tournament results are auto-populated with the rank badge and participant count. External achievements are self-declared by the candidate — with optional verification link. A Platform Tournament badge is clearly distinguished from a self-declared competition achievement — recruiter can see immediately which results are platform-verified. A filter allows the recruiter to view: All Competitions, Platform Verified Only, or by Domain. For Kaggle and Analytics Vidhya profiles, if the candidate connects their profile (via URL), the platform shows their Tier/Rank and most recent competition result as a live-fetched summary. The section also includes a Competitive Performance Index — a single number (0–100) that weighs rank, level, pool size, and domain relevance to the role the recruiter is evaluating.</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Example</w:t>
            </w:r>
          </w:p>
        </w:tc>
        <w:tc>
          <w:tcPr>
            <w:tcW w:type="dxa" w:w="75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Competition Achievements — Rahul Sharma | March 2026:
[GOLD] EcoSkiller Data Analysis Tournament — Q4 2025
Level: Platform Tournament (Verified) | Rank: 3rd of 847 participants | Top 0.4%
Domain: Data Analysis | Format: 48-hour dataset challenge
Platform-verified result: Yes — automatically populated from tournament records
Note: 'Rahul's solution was ranked top 3 based on prediction accuracy and code efficiency. The judge's note cited his visualisation approach as the most clear in the top 10.'
[SILVER] Analytics Vidhya — Machine Learning Monthly Challenge | Feb 2026
Level: National (Online) | Rank: 47th of 2,340 participants | Top 2.1%
Domain: Machine Learning | Kaggle-style submission
Verification: analyticsvidhya.com/profile/rahulsharma-data [Link Verified ✓]
[BLUE — Participation] Smart India Hackathon — Internal Qualifier Round | Sep 2025
Level: Institutional | Participated — did not advance to state round
Verification: Self-declared | Institute Pune IT confirms participation via portal [Verified]
[BLUE — Achievement] Chess District Championship — 2024
Level: District | Rank: 2nd of 64 participants | Silver
Verification: Self-declared | Certificate image uploaded
Recruiter note: 'District-level chess ranking is relevant — indicates structured problem solving and pattern recognition under competitive pressure.'
Competitive Performance Index: 74/100 (domain-weighted for Data Analytics roles)</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Why It Matters</w:t>
            </w:r>
          </w:p>
        </w:tc>
        <w:tc>
          <w:tcPr>
            <w:tcW w:type="dxa" w:w="7560"/>
            <w:gridSpan w:val="1"/>
            <w:tcBorders>
              <w:top w:val="single" w:color="C5D4E8" w:sz="4"/>
              <w:left w:val="single" w:color="C5D4E8" w:sz="4"/>
              <w:bottom w:val="single" w:color="C5D4E8" w:sz="4"/>
              <w:right w:val="single" w:color="C5D4E8" w:sz="4"/>
            </w:tcBorders>
            <w:shd w:fill="F6F6F6"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A candidate who ranked 3rd out of 847 participants in a platform data analysis tournament has been externally ranked by an objective, competitive evaluation against a large peer group. This is fundamentally different from any self-reported achievement or even a platform score — it places the candidate on a specific percentile of a competitive peer group. For a recruiter evaluating a data analyst role, 'Top 0.4% in a 48-hour dataset challenge with 847 participants' is more informative than any interview question they could ask about analytical capability. The Chess District Championship note is deliberately included in the example: a recruiter who understands that district-level competitive chess is evidence of structured pattern recognition under pressure is thinking about transferable cognitive skills, not just domain knowledge.</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Visibility</w:t>
            </w:r>
          </w:p>
        </w:tc>
        <w:tc>
          <w:tcPr>
            <w:tcW w:type="dxa" w:w="75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Recruiter (full competition achievement view — platform-verified results clearly distinguished from self-declared). Candidate (manages their achievements — adds/updates external competition results). Platform Admin (verifies self-declared results when certificates are uploaded — manages flag process). Platform tournament results: auto-populated, not editable by candidate. Competitive Performance Index: recruiter-only calculation based on role being evaluated.</w:t>
            </w:r>
          </w:p>
        </w:tc>
      </w:tr>
    </w:tbl>
    <w:p>
      <w:pPr>
        <w:spacing w:before="200" w:after="0"/>
      </w:pPr>
    </w:p>
    <w:p>
      <w:pPr>
        <w:spacing w:before="240" w:after="80"/>
      </w:pPr>
      <w:r>
        <w:rPr>
          <w:rFonts w:ascii="Arial" w:cs="Arial" w:eastAsia="Arial" w:hAnsi="Arial"/>
          <w:b/>
          <w:bCs/>
          <w:color w:val="0D1B2A"/>
          <w:sz w:val="22"/>
          <w:szCs w:val="22"/>
        </w:rPr>
        <w:t xml:space="preserve">Implementation Checklist</w:t>
      </w:r>
    </w:p>
    <w:p>
      <w:pPr>
        <w:spacing w:before="40" w:after="40" w:line="280"/>
        <w:jc w:val="left"/>
      </w:pPr>
      <w:r>
        <w:rPr>
          <w:rFonts w:ascii="Arial" w:cs="Arial" w:eastAsia="Arial" w:hAnsi="Arial"/>
          <w:b w:val="false"/>
          <w:bCs w:val="false"/>
          <w:i w:val="false"/>
          <w:iCs w:val="false"/>
          <w:color w:val="1A1A1A"/>
          <w:sz w:val="20"/>
          <w:szCs w:val="20"/>
        </w:rPr>
        <w:t xml:space="preserve">☑  Achievement card gallery: Gold (1st), Silver (2nd-3rd or top 5%), Bronze (top 10%), Blue (participation)</w:t>
      </w:r>
    </w:p>
    <w:p>
      <w:pPr>
        <w:spacing w:before="40" w:after="40" w:line="280"/>
        <w:jc w:val="left"/>
      </w:pPr>
      <w:r>
        <w:rPr>
          <w:rFonts w:ascii="Arial" w:cs="Arial" w:eastAsia="Arial" w:hAnsi="Arial"/>
          <w:b w:val="false"/>
          <w:bCs w:val="false"/>
          <w:i w:val="false"/>
          <w:iCs w:val="false"/>
          <w:color w:val="1A1A1A"/>
          <w:sz w:val="20"/>
          <w:szCs w:val="20"/>
        </w:rPr>
        <w:t xml:space="preserve">☑  Platform tournament results auto-populated — cannot be edited by candidate</w:t>
      </w:r>
    </w:p>
    <w:p>
      <w:pPr>
        <w:spacing w:before="40" w:after="40" w:line="280"/>
        <w:jc w:val="left"/>
      </w:pPr>
      <w:r>
        <w:rPr>
          <w:rFonts w:ascii="Arial" w:cs="Arial" w:eastAsia="Arial" w:hAnsi="Arial"/>
          <w:b w:val="false"/>
          <w:bCs w:val="false"/>
          <w:i w:val="false"/>
          <w:iCs w:val="false"/>
          <w:color w:val="1A1A1A"/>
          <w:sz w:val="20"/>
          <w:szCs w:val="20"/>
        </w:rPr>
        <w:t xml:space="preserve">☑  External achievements self-declared with optional verification link — link-checked daily</w:t>
      </w:r>
    </w:p>
    <w:p>
      <w:pPr>
        <w:spacing w:before="40" w:after="40" w:line="280"/>
        <w:jc w:val="left"/>
      </w:pPr>
      <w:r>
        <w:rPr>
          <w:rFonts w:ascii="Arial" w:cs="Arial" w:eastAsia="Arial" w:hAnsi="Arial"/>
          <w:b w:val="false"/>
          <w:bCs w:val="false"/>
          <w:i w:val="false"/>
          <w:iCs w:val="false"/>
          <w:color w:val="1A1A1A"/>
          <w:sz w:val="20"/>
          <w:szCs w:val="20"/>
        </w:rPr>
        <w:t xml:space="preserve">☑  Kaggle/Analytics Vidhya profile connection: live tier/rank summary if URL provided</w:t>
      </w:r>
    </w:p>
    <w:p>
      <w:pPr>
        <w:spacing w:before="40" w:after="40" w:line="280"/>
        <w:jc w:val="left"/>
      </w:pPr>
      <w:r>
        <w:rPr>
          <w:rFonts w:ascii="Arial" w:cs="Arial" w:eastAsia="Arial" w:hAnsi="Arial"/>
          <w:b w:val="false"/>
          <w:bCs w:val="false"/>
          <w:i w:val="false"/>
          <w:iCs w:val="false"/>
          <w:color w:val="1A1A1A"/>
          <w:sz w:val="20"/>
          <w:szCs w:val="20"/>
        </w:rPr>
        <w:t xml:space="preserve">☑  Competitive Performance Index (0–100): weighted by rank, level, pool size, domain relevance to current role</w:t>
      </w:r>
    </w:p>
    <w:p>
      <w:pPr>
        <w:spacing w:before="40" w:after="40" w:line="280"/>
        <w:jc w:val="left"/>
      </w:pPr>
      <w:r>
        <w:rPr>
          <w:rFonts w:ascii="Arial" w:cs="Arial" w:eastAsia="Arial" w:hAnsi="Arial"/>
          <w:b w:val="false"/>
          <w:bCs w:val="false"/>
          <w:i w:val="false"/>
          <w:iCs w:val="false"/>
          <w:color w:val="1A1A1A"/>
          <w:sz w:val="20"/>
          <w:szCs w:val="20"/>
        </w:rPr>
        <w:t xml:space="preserve">☑  Filter: All / Platform Verified Only / by Domain</w:t>
      </w:r>
    </w:p>
    <w:p>
      <w:pPr>
        <w:spacing w:before="40" w:after="40" w:line="280"/>
        <w:jc w:val="left"/>
      </w:pPr>
      <w:r>
        <w:rPr>
          <w:rFonts w:ascii="Arial" w:cs="Arial" w:eastAsia="Arial" w:hAnsi="Arial"/>
          <w:b w:val="false"/>
          <w:bCs w:val="false"/>
          <w:i w:val="false"/>
          <w:iCs w:val="false"/>
          <w:color w:val="1A1A1A"/>
          <w:sz w:val="20"/>
          <w:szCs w:val="20"/>
        </w:rPr>
        <w:t xml:space="preserve">☑  Participant pool size shown where known — context for rank (3rd of 847 vs 3rd of 12)</w:t>
      </w:r>
    </w:p>
    <w:p>
      <w:pPr>
        <w:spacing w:before="40" w:after="40" w:line="280"/>
        <w:jc w:val="left"/>
      </w:pPr>
      <w:r>
        <w:rPr>
          <w:rFonts w:ascii="Arial" w:cs="Arial" w:eastAsia="Arial" w:hAnsi="Arial"/>
          <w:b w:val="false"/>
          <w:bCs w:val="false"/>
          <w:i w:val="false"/>
          <w:iCs w:val="false"/>
          <w:color w:val="1A1A1A"/>
          <w:sz w:val="20"/>
          <w:szCs w:val="20"/>
        </w:rPr>
        <w:t xml:space="preserve">☑  Verification status clearly shown: Platform Verified, Link Verified, or Self-Declared</w:t>
      </w:r>
    </w:p>
    <w:p>
      <w:pPr>
        <w:pageBreakBefore/>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gridSpan w:val="1"/>
            <w:tcBorders>
              <w:top w:val="single" w:color="C5D4E8" w:sz="4"/>
              <w:left w:val="single" w:color="C5D4E8" w:sz="4"/>
              <w:bottom w:val="single" w:color="C5D4E8" w:sz="4"/>
              <w:right w:val="single" w:color="C5D4E8" w:sz="4"/>
            </w:tcBorders>
            <w:shd w:fill="0D1B2A" w:val="clear"/>
            <w:tcMar>
              <w:top w:type="dxa" w:w="110"/>
              <w:left w:type="dxa" w:w="170"/>
              <w:bottom w:type="dxa" w:w="110"/>
              <w:right w:type="dxa" w:w="170"/>
            </w:tcMar>
            <w:vAlign w:val="center"/>
          </w:tcPr>
          <w:p>
            <w:pPr>
              <w:spacing w:before="40" w:after="40"/>
              <w:jc w:val="center"/>
            </w:pPr>
            <w:r>
              <w:rPr>
                <w:rFonts w:ascii="Arial" w:cs="Arial" w:eastAsia="Arial" w:hAnsi="Arial"/>
                <w:b/>
                <w:bCs/>
                <w:i w:val="false"/>
                <w:iCs w:val="false"/>
                <w:color w:val="FFFFFF"/>
                <w:sz w:val="28"/>
                <w:szCs w:val="28"/>
              </w:rPr>
              <w:t xml:space="preserve">10.8</w:t>
            </w:r>
          </w:p>
        </w:tc>
        <w:tc>
          <w:tcPr>
            <w:tcW w:type="dxa" w:w="8660"/>
            <w:gridSpan w:val="1"/>
            <w:tcBorders>
              <w:top w:val="single" w:color="C5D4E8" w:sz="4"/>
              <w:left w:val="single" w:color="C5D4E8" w:sz="4"/>
              <w:bottom w:val="single" w:color="C5D4E8" w:sz="4"/>
              <w:right w:val="single" w:color="C5D4E8" w:sz="4"/>
            </w:tcBorders>
            <w:shd w:fill="0D1B2A"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8"/>
                <w:szCs w:val="28"/>
              </w:rPr>
              <w:t xml:space="preserve">Hackathon Participation Records</w:t>
            </w:r>
          </w:p>
        </w:tc>
      </w:tr>
    </w:tbl>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5D4E8" w:sz="4"/>
              <w:left w:val="single" w:color="C5D4E8" w:sz="4"/>
              <w:bottom w:val="single" w:color="C5D4E8" w:sz="4"/>
              <w:right w:val="single" w:color="C5D4E8" w:sz="4"/>
            </w:tcBorders>
            <w:shd w:fill="E0F4F6"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006D77"/>
                <w:sz w:val="18"/>
                <w:szCs w:val="18"/>
              </w:rPr>
              <w:t xml:space="preserve">[Hackathons]   [Team Projects]   [Innovation Evidence]   [Problem-Solving Under Pressure]</w:t>
            </w:r>
          </w:p>
        </w:tc>
      </w:tr>
    </w:tbl>
    <w:p>
      <w:pPr>
        <w:spacing w:before="0" w:after="200"/>
      </w:pPr>
    </w:p>
    <w:p>
      <w:pPr>
        <w:spacing w:before="0" w:after="60"/>
      </w:pPr>
      <w:r>
        <w:rPr>
          <w:rFonts w:ascii="Arial" w:cs="Arial" w:eastAsia="Arial" w:hAnsi="Arial"/>
          <w:b/>
          <w:bCs/>
          <w:color w:val="006D77"/>
          <w:sz w:val="24"/>
          <w:szCs w:val="24"/>
        </w:rPr>
        <w:t xml:space="preserve">Purpose</w:t>
      </w:r>
    </w:p>
    <w:p>
      <w:pPr>
        <w:spacing w:before="40" w:after="200" w:line="280"/>
        <w:jc w:val="left"/>
      </w:pPr>
      <w:r>
        <w:rPr>
          <w:rFonts w:ascii="Arial" w:cs="Arial" w:eastAsia="Arial" w:hAnsi="Arial"/>
          <w:b w:val="false"/>
          <w:bCs w:val="false"/>
          <w:i/>
          <w:iCs/>
          <w:color w:val="555555"/>
          <w:sz w:val="22"/>
          <w:szCs w:val="22"/>
        </w:rPr>
        <w:t xml:space="preserve">Document a candidate's hackathon history with sufficient detail that recruiters can evaluate not just that they participated, but how they contributed, what they built, and how they performed under the specific pressures of time-constrained collaborative problem-solving.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What It Does</w:t>
            </w:r>
          </w:p>
        </w:tc>
        <w:tc>
          <w:tcPr>
            <w:tcW w:type="dxa" w:w="75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Hackathon Participation Records is a dedicated section for hackathon experience — separate from general competition achievements (Feature 10.7) because hackathons have unique attributes that warrant their own evaluation framework: team-based work, time constraints, ambiguous problem statements, and the requirement to produce a working prototype. Each hackathon record contains: event name, organiser, level (International/National/State/Institutional), date and duration (24 hours / 36 hours / 48 hours / multi-day), team size and the candidate's specific role (Team Lead / Developer / Data Analyst / Designer / Domain Expert), the problem statement or track (if shareable), the solution description (100–300 words — candidate written), the outcome (Won / Finalist / Shortlisted / Participated), rank achieved if applicable, the tech stack used, and a project link or demo if available. For hackathons hosted on the EcoSkiller platform or in partnership with the platform, results are automatically populated with verified data.</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How It Works</w:t>
            </w:r>
          </w:p>
        </w:tc>
        <w:tc>
          <w:tcPr>
            <w:tcW w:type="dxa" w:w="7560"/>
            <w:gridSpan w:val="1"/>
            <w:tcBorders>
              <w:top w:val="single" w:color="C5D4E8" w:sz="4"/>
              <w:left w:val="single" w:color="C5D4E8" w:sz="4"/>
              <w:bottom w:val="single" w:color="C5D4E8" w:sz="4"/>
              <w:right w:val="single" w:color="C5D4E8" w:sz="4"/>
            </w:tcBorders>
            <w:shd w:fill="F6F6F6"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The Hackathons tab on the candidate's profile shows a card gallery — each card summarising the event, outcome badge, and tech stack tags. Recruiter clicks 'View Details' to read the full record. A filter bar allows filtering by: outcome (Won and Finalist only), level, tech stack, and date range. A Hackathon Profile Summary at the top shows: total hackathons participated, win/finalist rate, most common role, and most used tech stack across all hackathons. For team projects, the candidate lists their team members' EcoSkiller usernames — team members can confirm the project entry, adding a peer-confirmation signal to the achievement. The solution description is written by the candidate and is the most qualitative part of the record — it reveals how they think about problems, how they scope solutions, and how they communicate technical decisions to a non-technical audience.</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Example</w:t>
            </w:r>
          </w:p>
        </w:tc>
        <w:tc>
          <w:tcPr>
            <w:tcW w:type="dxa" w:w="75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Hackathon Records — Rahul Sharma | March 2026:
Profile Summary: 3 hackathons | Win/Finalist rate: 66.7% | Most common role: Data Analyst | Primary stack: Python, SQL, Tableau
Hackathon 1 — EcoSkiller Data Challenge Cup | January 2026
Organiser: EcoSkiller Platform | Level: Platform (Verified) | Duration: 48 hours | Outcome: FINALIST (Top 8 of 340 teams)
Role: Data Analyst (team of 3) | Team members: confirmed by 2 peers
Problem Track: 'Urban mobility data — identify patterns in public transport usage to propose a 30-day intervention.'
Tech stack: Python, Pandas, Matplotlib, Tableau
Solution: 'Our team analysed 6 months of Mumbai BEST bus ridership data. I led the data cleaning and time-series analysis, identifying 3 peak-hour bottleneck routes where a 15-minute schedule adjustment would reduce average wait time by 22%. I built the visualisation dashboard that the judges evaluated — focusing on one clear recommendation per slide rather than comprehensive data coverage.'
Project link: [GitHub Repository — Data Challenge Cup 2026]
Hackathon 2 — TechFest Analytics Track, IIT Bombay | October 2025
Organiser: IIT Bombay Student Technical Committee | Level: National | Duration: 24 hours | Outcome: WON (1st of 87 teams)
Role: Team Lead and Data Analyst (team of 4)
Tech stack: Python, SQL, Google Data Studio
Solution: 'We were given a retail e-commerce dataset and asked to predict next-quarter product demand. I owned the model architecture — we used a simple regression rather than over-engineering with deep learning, because a simpler model with explainable outputs was more useful to the business audience than a black-box predictor. The judges highlighted this decision in their feedback as the winning insight.'
Hackathon 3 — College Internal Datathon | August 2025
Organiser: Pune IT Internal | Level: Institutional | Duration: 6 hours | Outcome: PARTICIPATED
Role: Data Analyst (team of 2)</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Why It Matters</w:t>
            </w:r>
          </w:p>
        </w:tc>
        <w:tc>
          <w:tcPr>
            <w:tcW w:type="dxa" w:w="7560"/>
            <w:gridSpan w:val="1"/>
            <w:tcBorders>
              <w:top w:val="single" w:color="C5D4E8" w:sz="4"/>
              <w:left w:val="single" w:color="C5D4E8" w:sz="4"/>
              <w:bottom w:val="single" w:color="C5D4E8" w:sz="4"/>
              <w:right w:val="single" w:color="C5D4E8" w:sz="4"/>
            </w:tcBorders>
            <w:shd w:fill="F6F6F6"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A hackathon is the closest simulation of real work environments that a student can participate in before employment: ambiguous brief, time pressure, team collaboration, incomplete data, and the requirement to produce something usable. A candidate who led a winning team at an IIT Bombay national hackathon — and whose winning insight was choosing a simpler, more explainable model over an over-engineered one — is demonstrating professional judgment, not just technical capability. That decision-making reasoning, written in the candidate's own words in the solution description, is information no CV line item and no standard interview question can surface. It requires the candidate to articulate their thinking — and it shows the recruiter exactly how they approach ambiguous problems.</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Visibility</w:t>
            </w:r>
          </w:p>
        </w:tc>
        <w:tc>
          <w:tcPr>
            <w:tcW w:type="dxa" w:w="75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Recruiter (full hackathon records — outcome, role, tech stack, solution description, project links). Candidate (manages their hackathon entries — adds solution description and project links). Team members (can confirm team membership — adds peer verification signal). Platform Admin (verifies platform-hosted hackathon results — auto-populated). Hackathon records visible on public profile (summary only — full details for authenticated recruiters).</w:t>
            </w:r>
          </w:p>
        </w:tc>
      </w:tr>
    </w:tbl>
    <w:p>
      <w:pPr>
        <w:spacing w:before="200" w:after="0"/>
      </w:pPr>
    </w:p>
    <w:p>
      <w:pPr>
        <w:spacing w:before="240" w:after="80"/>
      </w:pPr>
      <w:r>
        <w:rPr>
          <w:rFonts w:ascii="Arial" w:cs="Arial" w:eastAsia="Arial" w:hAnsi="Arial"/>
          <w:b/>
          <w:bCs/>
          <w:color w:val="0D1B2A"/>
          <w:sz w:val="22"/>
          <w:szCs w:val="22"/>
        </w:rPr>
        <w:t xml:space="preserve">Implementation Checklist</w:t>
      </w:r>
    </w:p>
    <w:p>
      <w:pPr>
        <w:spacing w:before="40" w:after="40" w:line="280"/>
        <w:jc w:val="left"/>
      </w:pPr>
      <w:r>
        <w:rPr>
          <w:rFonts w:ascii="Arial" w:cs="Arial" w:eastAsia="Arial" w:hAnsi="Arial"/>
          <w:b w:val="false"/>
          <w:bCs w:val="false"/>
          <w:i w:val="false"/>
          <w:iCs w:val="false"/>
          <w:color w:val="1A1A1A"/>
          <w:sz w:val="20"/>
          <w:szCs w:val="20"/>
        </w:rPr>
        <w:t xml:space="preserve">☑  Hackathon record fields: event, organiser, level, date, duration, team size, role, problem, solution (100–300 words), outcome, rank, tech stack, project link</w:t>
      </w:r>
    </w:p>
    <w:p>
      <w:pPr>
        <w:spacing w:before="40" w:after="40" w:line="280"/>
        <w:jc w:val="left"/>
      </w:pPr>
      <w:r>
        <w:rPr>
          <w:rFonts w:ascii="Arial" w:cs="Arial" w:eastAsia="Arial" w:hAnsi="Arial"/>
          <w:b w:val="false"/>
          <w:bCs w:val="false"/>
          <w:i w:val="false"/>
          <w:iCs w:val="false"/>
          <w:color w:val="1A1A1A"/>
          <w:sz w:val="20"/>
          <w:szCs w:val="20"/>
        </w:rPr>
        <w:t xml:space="preserve">☑  Outcome badge: Won / Finalist / Shortlisted / Participated</w:t>
      </w:r>
    </w:p>
    <w:p>
      <w:pPr>
        <w:spacing w:before="40" w:after="40" w:line="280"/>
        <w:jc w:val="left"/>
      </w:pPr>
      <w:r>
        <w:rPr>
          <w:rFonts w:ascii="Arial" w:cs="Arial" w:eastAsia="Arial" w:hAnsi="Arial"/>
          <w:b w:val="false"/>
          <w:bCs w:val="false"/>
          <w:i w:val="false"/>
          <w:iCs w:val="false"/>
          <w:color w:val="1A1A1A"/>
          <w:sz w:val="20"/>
          <w:szCs w:val="20"/>
        </w:rPr>
        <w:t xml:space="preserve">☑  Profile Summary: total hackathons, win/finalist rate, most common role, primary tech stack</w:t>
      </w:r>
    </w:p>
    <w:p>
      <w:pPr>
        <w:spacing w:before="40" w:after="40" w:line="280"/>
        <w:jc w:val="left"/>
      </w:pPr>
      <w:r>
        <w:rPr>
          <w:rFonts w:ascii="Arial" w:cs="Arial" w:eastAsia="Arial" w:hAnsi="Arial"/>
          <w:b w:val="false"/>
          <w:bCs w:val="false"/>
          <w:i w:val="false"/>
          <w:iCs w:val="false"/>
          <w:color w:val="1A1A1A"/>
          <w:sz w:val="20"/>
          <w:szCs w:val="20"/>
        </w:rPr>
        <w:t xml:space="preserve">☑  Team member confirmation: peers can verify team membership — adds peer-confirmed signal</w:t>
      </w:r>
    </w:p>
    <w:p>
      <w:pPr>
        <w:spacing w:before="40" w:after="40" w:line="280"/>
        <w:jc w:val="left"/>
      </w:pPr>
      <w:r>
        <w:rPr>
          <w:rFonts w:ascii="Arial" w:cs="Arial" w:eastAsia="Arial" w:hAnsi="Arial"/>
          <w:b w:val="false"/>
          <w:bCs w:val="false"/>
          <w:i w:val="false"/>
          <w:iCs w:val="false"/>
          <w:color w:val="1A1A1A"/>
          <w:sz w:val="20"/>
          <w:szCs w:val="20"/>
        </w:rPr>
        <w:t xml:space="preserve">☑  Platform-hosted hackathon results auto-populated and verified — not editable by candidate</w:t>
      </w:r>
    </w:p>
    <w:p>
      <w:pPr>
        <w:spacing w:before="40" w:after="40" w:line="280"/>
        <w:jc w:val="left"/>
      </w:pPr>
      <w:r>
        <w:rPr>
          <w:rFonts w:ascii="Arial" w:cs="Arial" w:eastAsia="Arial" w:hAnsi="Arial"/>
          <w:b w:val="false"/>
          <w:bCs w:val="false"/>
          <w:i w:val="false"/>
          <w:iCs w:val="false"/>
          <w:color w:val="1A1A1A"/>
          <w:sz w:val="20"/>
          <w:szCs w:val="20"/>
        </w:rPr>
        <w:t xml:space="preserve">☑  Filter: by outcome (Won/Finalist), level, tech stack, date range</w:t>
      </w:r>
    </w:p>
    <w:p>
      <w:pPr>
        <w:spacing w:before="40" w:after="40" w:line="280"/>
        <w:jc w:val="left"/>
      </w:pPr>
      <w:r>
        <w:rPr>
          <w:rFonts w:ascii="Arial" w:cs="Arial" w:eastAsia="Arial" w:hAnsi="Arial"/>
          <w:b w:val="false"/>
          <w:bCs w:val="false"/>
          <w:i w:val="false"/>
          <w:iCs w:val="false"/>
          <w:color w:val="1A1A1A"/>
          <w:sz w:val="20"/>
          <w:szCs w:val="20"/>
        </w:rPr>
        <w:t xml:space="preserve">☑  Solution description: candidate-written, 100–300 words — qualitative problem-solving evidence</w:t>
      </w:r>
    </w:p>
    <w:p>
      <w:pPr>
        <w:spacing w:before="40" w:after="40" w:line="280"/>
        <w:jc w:val="left"/>
      </w:pPr>
      <w:r>
        <w:rPr>
          <w:rFonts w:ascii="Arial" w:cs="Arial" w:eastAsia="Arial" w:hAnsi="Arial"/>
          <w:b w:val="false"/>
          <w:bCs w:val="false"/>
          <w:i w:val="false"/>
          <w:iCs w:val="false"/>
          <w:color w:val="1A1A1A"/>
          <w:sz w:val="20"/>
          <w:szCs w:val="20"/>
        </w:rPr>
        <w:t xml:space="preserve">☑  Project link field: GitHub repo, demo URL, or presentation link</w:t>
      </w:r>
    </w:p>
    <w:p>
      <w:pPr>
        <w:pageBreakBefore/>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gridSpan w:val="1"/>
            <w:tcBorders>
              <w:top w:val="single" w:color="C5D4E8" w:sz="4"/>
              <w:left w:val="single" w:color="C5D4E8" w:sz="4"/>
              <w:bottom w:val="single" w:color="C5D4E8" w:sz="4"/>
              <w:right w:val="single" w:color="C5D4E8" w:sz="4"/>
            </w:tcBorders>
            <w:shd w:fill="0D1B2A" w:val="clear"/>
            <w:tcMar>
              <w:top w:type="dxa" w:w="110"/>
              <w:left w:type="dxa" w:w="170"/>
              <w:bottom w:type="dxa" w:w="110"/>
              <w:right w:type="dxa" w:w="170"/>
            </w:tcMar>
            <w:vAlign w:val="center"/>
          </w:tcPr>
          <w:p>
            <w:pPr>
              <w:spacing w:before="40" w:after="40"/>
              <w:jc w:val="center"/>
            </w:pPr>
            <w:r>
              <w:rPr>
                <w:rFonts w:ascii="Arial" w:cs="Arial" w:eastAsia="Arial" w:hAnsi="Arial"/>
                <w:b/>
                <w:bCs/>
                <w:i w:val="false"/>
                <w:iCs w:val="false"/>
                <w:color w:val="FFFFFF"/>
                <w:sz w:val="28"/>
                <w:szCs w:val="28"/>
              </w:rPr>
              <w:t xml:space="preserve">10.9</w:t>
            </w:r>
          </w:p>
        </w:tc>
        <w:tc>
          <w:tcPr>
            <w:tcW w:type="dxa" w:w="8660"/>
            <w:gridSpan w:val="1"/>
            <w:tcBorders>
              <w:top w:val="single" w:color="C5D4E8" w:sz="4"/>
              <w:left w:val="single" w:color="C5D4E8" w:sz="4"/>
              <w:bottom w:val="single" w:color="C5D4E8" w:sz="4"/>
              <w:right w:val="single" w:color="C5D4E8" w:sz="4"/>
            </w:tcBorders>
            <w:shd w:fill="0D1B2A"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8"/>
                <w:szCs w:val="28"/>
              </w:rPr>
              <w:t xml:space="preserve">Internship Experience Details</w:t>
            </w:r>
          </w:p>
        </w:tc>
      </w:tr>
    </w:tbl>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5D4E8" w:sz="4"/>
              <w:left w:val="single" w:color="C5D4E8" w:sz="4"/>
              <w:bottom w:val="single" w:color="C5D4E8" w:sz="4"/>
              <w:right w:val="single" w:color="C5D4E8" w:sz="4"/>
            </w:tcBorders>
            <w:shd w:fill="E0F4F6"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006D77"/>
                <w:sz w:val="18"/>
                <w:szCs w:val="18"/>
              </w:rPr>
              <w:t xml:space="preserve">[Internship]   [Work Experience]   [Professional Context]   [Pre-Employment Track Record]</w:t>
            </w:r>
          </w:p>
        </w:tc>
      </w:tr>
    </w:tbl>
    <w:p>
      <w:pPr>
        <w:spacing w:before="0" w:after="200"/>
      </w:pPr>
    </w:p>
    <w:p>
      <w:pPr>
        <w:spacing w:before="0" w:after="60"/>
      </w:pPr>
      <w:r>
        <w:rPr>
          <w:rFonts w:ascii="Arial" w:cs="Arial" w:eastAsia="Arial" w:hAnsi="Arial"/>
          <w:b/>
          <w:bCs/>
          <w:color w:val="006D77"/>
          <w:sz w:val="24"/>
          <w:szCs w:val="24"/>
        </w:rPr>
        <w:t xml:space="preserve">Purpose</w:t>
      </w:r>
    </w:p>
    <w:p>
      <w:pPr>
        <w:spacing w:before="40" w:after="200" w:line="280"/>
        <w:jc w:val="left"/>
      </w:pPr>
      <w:r>
        <w:rPr>
          <w:rFonts w:ascii="Arial" w:cs="Arial" w:eastAsia="Arial" w:hAnsi="Arial"/>
          <w:b w:val="false"/>
          <w:bCs w:val="false"/>
          <w:i/>
          <w:iCs/>
          <w:color w:val="555555"/>
          <w:sz w:val="22"/>
          <w:szCs w:val="22"/>
        </w:rPr>
        <w:t xml:space="preserve">Document a candidate's internship history with the depth and verification that standard CV entries lack — giving recruiters verified, structured evidence of a student's pre-employment professional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What It Does</w:t>
            </w:r>
          </w:p>
        </w:tc>
        <w:tc>
          <w:tcPr>
            <w:tcW w:type="dxa" w:w="75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Internship Experience Details is a structured, partially verified record of all internships a candidate has completed. Each internship entry contains: company name, industry sector, role title, duration (start and end dates), work mode (In-person / Remote / Hybrid), a role description (candidate-written, max 200 words), key responsibilities (3–5 bullet points — candidate-written), skills applied (tagged from the skill library — links to proficiency levels in Feature 10.2), quantified outcomes (optional — candidate-declared: 'Reduced report generation time by 40% through dashboard automation'), a supervisory reference (optional — if the supervisor has an EcoSkiller or LinkedIn profile, they can be tagged and asked to provide a 1-line endorsement), and a verification status (Verified — company exists on EcoSkiller as a client and has confirmed the internship / External — not a platform client but candidate has provided official experience letter / Self-Declared — no external verification). The platform distinguishes between verified internships and self-declared ones using the same trust-tier approach as skills and certifications.</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How It Works</w:t>
            </w:r>
          </w:p>
        </w:tc>
        <w:tc>
          <w:tcPr>
            <w:tcW w:type="dxa" w:w="7560"/>
            <w:gridSpan w:val="1"/>
            <w:tcBorders>
              <w:top w:val="single" w:color="C5D4E8" w:sz="4"/>
              <w:left w:val="single" w:color="C5D4E8" w:sz="4"/>
              <w:bottom w:val="single" w:color="C5D4E8" w:sz="4"/>
              <w:right w:val="single" w:color="C5D4E8" w:sz="4"/>
            </w:tcBorders>
            <w:shd w:fill="F6F6F6"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Candidate adds internships from their profile → 'Experience' → 'Add Internship.' For companies that are registered EcoSkiller clients (Marketplace companies), the company name auto-fills from a dropdown and the candidate can request confirmation from the company's HR portal — the company receives a 'Confirm Internship' notification. For external companies, the candidate can upload an experience letter or certificate (PDF — platform stores it but does not display it to recruiters — only the verification status is shown). Recruiter opens the candidate's profile → 'Experience' tab. Internships are displayed in reverse chronological order with a trust badge (Verified / External / Self-Declared). Each entry is expandable to show full role description, responsibilities, skills applied, and any quantified outcomes. A 'View Related Skills' button links directly to the skill proficiency entries in Feature 10.2 that were evidenced during this internship — creating a traceable connection between experience and skills.</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Example</w:t>
            </w:r>
          </w:p>
        </w:tc>
        <w:tc>
          <w:tcPr>
            <w:tcW w:type="dxa" w:w="75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Internship Experience — Rahul Sharma | March 2026:
Internship 1 — DataCorp Analytics [VERIFIED — EcoSkiller Client]
Role: Data Analysis Intern | Industry: Analytics / SaaS | Duration: 3 months (Jun–Aug 2025) | Remote
Role Description: 'Supported the DataCorp internal analytics team with data cleaning, exploratory analysis, and dashboard maintenance. Worked directly with the Business Intelligence lead on monthly reporting automation.'
Key Responsibilities:
  Cleaned and standardised monthly CRM export data using Python and SQL
  Built and maintained 3 Excel-based reporting dashboards (pre-Tableau migration)
  Conducted exploratory analysis on customer churn data — presented findings to team lead
  Documented data cleaning procedures for team knowledge base
Skills Applied: Python, SQL, Excel, Data Cleaning, Business Communication
Quantified Outcome: 'Reduced monthly report preparation time from 4 hours to 45 minutes through scripted data cleaning automation.'
Supervisory Endorsement: [Anil Mehta, BI Lead, DataCorp — 'Rahul's scripting work saved our team 13 hours per month. Self-starting and detail-oriented.'] [EcoSkiller Verified]
Internship 2 — LocalStartup Digital [EXTERNAL — Experience letter uploaded]
Role: Junior Data Analyst | Industry: E-commerce | Duration: 2 months (Apr–May 2025) | Hybrid
Verification: External (experience letter on file)
Role Description: 'Sales data analysis and weekly performance reporting for an early-stage e-commerce startup.'
Skills Applied: Excel, SQL, Google Sheets</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Why It Matters</w:t>
            </w:r>
          </w:p>
        </w:tc>
        <w:tc>
          <w:tcPr>
            <w:tcW w:type="dxa" w:w="7560"/>
            <w:gridSpan w:val="1"/>
            <w:tcBorders>
              <w:top w:val="single" w:color="C5D4E8" w:sz="4"/>
              <w:left w:val="single" w:color="C5D4E8" w:sz="4"/>
              <w:bottom w:val="single" w:color="C5D4E8" w:sz="4"/>
              <w:right w:val="single" w:color="C5D4E8" w:sz="4"/>
            </w:tcBorders>
            <w:shd w:fill="F6F6F6"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An internship entry on a standard CV that says 'Data Analysis Intern, DataCorp, 3 months' is a four-word claim. The same internship documented with a role description, 4 specific responsibilities, a quantified outcome ('reduced report time from 4 hours to 45 minutes'), and a supervisor endorsement from the BI Lead ('saved our team 13 hours per month') is a verified professional track record. The supervisory endorsement from someone with an EcoSkiller-verified identity is particularly powerful: it is not a LinkedIn recommendation that the candidate requested and the supervisor wrote generically — it is a structured, 1-line statement from a named individual the recruiter can see is real and can, if needed, contact.</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Visibility</w:t>
            </w:r>
          </w:p>
        </w:tc>
        <w:tc>
          <w:tcPr>
            <w:tcW w:type="dxa" w:w="75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Recruiter (full internship details including trust tier, supervisor endorsement, quantified outcomes, skills links). Candidate (manages their own internship entries — controls what is shared). Supervisors (receive endorsement request — voluntary, 1-line statement). Platform Marketplace companies (receive internship confirmation requests for their verified interns). Experience letter PDFs: not shown to recruiters — only verification status is displayed.</w:t>
            </w:r>
          </w:p>
        </w:tc>
      </w:tr>
    </w:tbl>
    <w:p>
      <w:pPr>
        <w:spacing w:before="200" w:after="0"/>
      </w:pPr>
    </w:p>
    <w:p>
      <w:pPr>
        <w:spacing w:before="240" w:after="80"/>
      </w:pPr>
      <w:r>
        <w:rPr>
          <w:rFonts w:ascii="Arial" w:cs="Arial" w:eastAsia="Arial" w:hAnsi="Arial"/>
          <w:b/>
          <w:bCs/>
          <w:color w:val="0D1B2A"/>
          <w:sz w:val="22"/>
          <w:szCs w:val="22"/>
        </w:rPr>
        <w:t xml:space="preserve">Implementation Checklist</w:t>
      </w:r>
    </w:p>
    <w:p>
      <w:pPr>
        <w:spacing w:before="40" w:after="40" w:line="280"/>
        <w:jc w:val="left"/>
      </w:pPr>
      <w:r>
        <w:rPr>
          <w:rFonts w:ascii="Arial" w:cs="Arial" w:eastAsia="Arial" w:hAnsi="Arial"/>
          <w:b w:val="false"/>
          <w:bCs w:val="false"/>
          <w:i w:val="false"/>
          <w:iCs w:val="false"/>
          <w:color w:val="1A1A1A"/>
          <w:sz w:val="20"/>
          <w:szCs w:val="20"/>
        </w:rPr>
        <w:t xml:space="preserve">☑  Three verification tiers: Platform Verified (EcoSkiller client confirmed), External (letter uploaded), Self-Declared</w:t>
      </w:r>
    </w:p>
    <w:p>
      <w:pPr>
        <w:spacing w:before="40" w:after="40" w:line="280"/>
        <w:jc w:val="left"/>
      </w:pPr>
      <w:r>
        <w:rPr>
          <w:rFonts w:ascii="Arial" w:cs="Arial" w:eastAsia="Arial" w:hAnsi="Arial"/>
          <w:b w:val="false"/>
          <w:bCs w:val="false"/>
          <w:i w:val="false"/>
          <w:iCs w:val="false"/>
          <w:color w:val="1A1A1A"/>
          <w:sz w:val="20"/>
          <w:szCs w:val="20"/>
        </w:rPr>
        <w:t xml:space="preserve">☑  Internship fields: company, role, industry, duration, mode, description (200 words), responsibilities (3–5), skills, outcomes, endorsement</w:t>
      </w:r>
    </w:p>
    <w:p>
      <w:pPr>
        <w:spacing w:before="40" w:after="40" w:line="280"/>
        <w:jc w:val="left"/>
      </w:pPr>
      <w:r>
        <w:rPr>
          <w:rFonts w:ascii="Arial" w:cs="Arial" w:eastAsia="Arial" w:hAnsi="Arial"/>
          <w:b w:val="false"/>
          <w:bCs w:val="false"/>
          <w:i w:val="false"/>
          <w:iCs w:val="false"/>
          <w:color w:val="1A1A1A"/>
          <w:sz w:val="20"/>
          <w:szCs w:val="20"/>
        </w:rPr>
        <w:t xml:space="preserve">☑  Platform client internships: company can confirm via HR portal — auto-verification for EcoSkiller Marketplace clients</w:t>
      </w:r>
    </w:p>
    <w:p>
      <w:pPr>
        <w:spacing w:before="40" w:after="40" w:line="280"/>
        <w:jc w:val="left"/>
      </w:pPr>
      <w:r>
        <w:rPr>
          <w:rFonts w:ascii="Arial" w:cs="Arial" w:eastAsia="Arial" w:hAnsi="Arial"/>
          <w:b w:val="false"/>
          <w:bCs w:val="false"/>
          <w:i w:val="false"/>
          <w:iCs w:val="false"/>
          <w:color w:val="1A1A1A"/>
          <w:sz w:val="20"/>
          <w:szCs w:val="20"/>
        </w:rPr>
        <w:t xml:space="preserve">☑  External internships: experience letter uploaded — verification status shown, letter not displayed to recruiters</w:t>
      </w:r>
    </w:p>
    <w:p>
      <w:pPr>
        <w:spacing w:before="40" w:after="40" w:line="280"/>
        <w:jc w:val="left"/>
      </w:pPr>
      <w:r>
        <w:rPr>
          <w:rFonts w:ascii="Arial" w:cs="Arial" w:eastAsia="Arial" w:hAnsi="Arial"/>
          <w:b w:val="false"/>
          <w:bCs w:val="false"/>
          <w:i w:val="false"/>
          <w:iCs w:val="false"/>
          <w:color w:val="1A1A1A"/>
          <w:sz w:val="20"/>
          <w:szCs w:val="20"/>
        </w:rPr>
        <w:t xml:space="preserve">☑  Supervisory endorsement: 1-line statement from named supervisor — voluntary, EcoSkiller or LinkedIn profile tagged</w:t>
      </w:r>
    </w:p>
    <w:p>
      <w:pPr>
        <w:spacing w:before="40" w:after="40" w:line="280"/>
        <w:jc w:val="left"/>
      </w:pPr>
      <w:r>
        <w:rPr>
          <w:rFonts w:ascii="Arial" w:cs="Arial" w:eastAsia="Arial" w:hAnsi="Arial"/>
          <w:b w:val="false"/>
          <w:bCs w:val="false"/>
          <w:i w:val="false"/>
          <w:iCs w:val="false"/>
          <w:color w:val="1A1A1A"/>
          <w:sz w:val="20"/>
          <w:szCs w:val="20"/>
        </w:rPr>
        <w:t xml:space="preserve">☑  Quantified outcome field: candidate-declared numerical impact — clearly labelled as candidate-declared</w:t>
      </w:r>
    </w:p>
    <w:p>
      <w:pPr>
        <w:spacing w:before="40" w:after="40" w:line="280"/>
        <w:jc w:val="left"/>
      </w:pPr>
      <w:r>
        <w:rPr>
          <w:rFonts w:ascii="Arial" w:cs="Arial" w:eastAsia="Arial" w:hAnsi="Arial"/>
          <w:b w:val="false"/>
          <w:bCs w:val="false"/>
          <w:i w:val="false"/>
          <w:iCs w:val="false"/>
          <w:color w:val="1A1A1A"/>
          <w:sz w:val="20"/>
          <w:szCs w:val="20"/>
        </w:rPr>
        <w:t xml:space="preserve">☑  'View Related Skills' button: links to skill proficiency entries evidenced during internship</w:t>
      </w:r>
    </w:p>
    <w:p>
      <w:pPr>
        <w:spacing w:before="40" w:after="40" w:line="280"/>
        <w:jc w:val="left"/>
      </w:pPr>
      <w:r>
        <w:rPr>
          <w:rFonts w:ascii="Arial" w:cs="Arial" w:eastAsia="Arial" w:hAnsi="Arial"/>
          <w:b w:val="false"/>
          <w:bCs w:val="false"/>
          <w:i w:val="false"/>
          <w:iCs w:val="false"/>
          <w:color w:val="1A1A1A"/>
          <w:sz w:val="20"/>
          <w:szCs w:val="20"/>
        </w:rPr>
        <w:t xml:space="preserve">☑  Skills applied tagged from platform skill library — links to proficiency levels automatically</w:t>
      </w:r>
    </w:p>
    <w:p>
      <w:pPr>
        <w:pageBreakBefore/>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gridSpan w:val="1"/>
            <w:tcBorders>
              <w:top w:val="single" w:color="C5D4E8" w:sz="4"/>
              <w:left w:val="single" w:color="C5D4E8" w:sz="4"/>
              <w:bottom w:val="single" w:color="C5D4E8" w:sz="4"/>
              <w:right w:val="single" w:color="C5D4E8" w:sz="4"/>
            </w:tcBorders>
            <w:shd w:fill="0D1B2A" w:val="clear"/>
            <w:tcMar>
              <w:top w:type="dxa" w:w="110"/>
              <w:left w:type="dxa" w:w="170"/>
              <w:bottom w:type="dxa" w:w="110"/>
              <w:right w:type="dxa" w:w="170"/>
            </w:tcMar>
            <w:vAlign w:val="center"/>
          </w:tcPr>
          <w:p>
            <w:pPr>
              <w:spacing w:before="40" w:after="40"/>
              <w:jc w:val="center"/>
            </w:pPr>
            <w:r>
              <w:rPr>
                <w:rFonts w:ascii="Arial" w:cs="Arial" w:eastAsia="Arial" w:hAnsi="Arial"/>
                <w:b/>
                <w:bCs/>
                <w:i w:val="false"/>
                <w:iCs w:val="false"/>
                <w:color w:val="FFFFFF"/>
                <w:sz w:val="28"/>
                <w:szCs w:val="28"/>
              </w:rPr>
              <w:t xml:space="preserve">10.10</w:t>
            </w:r>
          </w:p>
        </w:tc>
        <w:tc>
          <w:tcPr>
            <w:tcW w:type="dxa" w:w="8660"/>
            <w:gridSpan w:val="1"/>
            <w:tcBorders>
              <w:top w:val="single" w:color="C5D4E8" w:sz="4"/>
              <w:left w:val="single" w:color="C5D4E8" w:sz="4"/>
              <w:bottom w:val="single" w:color="C5D4E8" w:sz="4"/>
              <w:right w:val="single" w:color="C5D4E8" w:sz="4"/>
            </w:tcBorders>
            <w:shd w:fill="0D1B2A"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8"/>
                <w:szCs w:val="28"/>
              </w:rPr>
              <w:t xml:space="preserve">Learning Journey Timeline</w:t>
            </w:r>
          </w:p>
        </w:tc>
      </w:tr>
    </w:tbl>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5D4E8" w:sz="4"/>
              <w:left w:val="single" w:color="C5D4E8" w:sz="4"/>
              <w:bottom w:val="single" w:color="C5D4E8" w:sz="4"/>
              <w:right w:val="single" w:color="C5D4E8" w:sz="4"/>
            </w:tcBorders>
            <w:shd w:fill="E0F4F6"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006D77"/>
                <w:sz w:val="18"/>
                <w:szCs w:val="18"/>
              </w:rPr>
              <w:t xml:space="preserve">[Learning Timeline]   [Development History]   [Platform Activity]   [Chronological Growth]</w:t>
            </w:r>
          </w:p>
        </w:tc>
      </w:tr>
    </w:tbl>
    <w:p>
      <w:pPr>
        <w:spacing w:before="0" w:after="200"/>
      </w:pPr>
    </w:p>
    <w:p>
      <w:pPr>
        <w:spacing w:before="0" w:after="60"/>
      </w:pPr>
      <w:r>
        <w:rPr>
          <w:rFonts w:ascii="Arial" w:cs="Arial" w:eastAsia="Arial" w:hAnsi="Arial"/>
          <w:b/>
          <w:bCs/>
          <w:color w:val="006D77"/>
          <w:sz w:val="24"/>
          <w:szCs w:val="24"/>
        </w:rPr>
        <w:t xml:space="preserve">Purpose</w:t>
      </w:r>
    </w:p>
    <w:p>
      <w:pPr>
        <w:spacing w:before="40" w:after="200" w:line="280"/>
        <w:jc w:val="left"/>
      </w:pPr>
      <w:r>
        <w:rPr>
          <w:rFonts w:ascii="Arial" w:cs="Arial" w:eastAsia="Arial" w:hAnsi="Arial"/>
          <w:b w:val="false"/>
          <w:bCs w:val="false"/>
          <w:i/>
          <w:iCs/>
          <w:color w:val="555555"/>
          <w:sz w:val="22"/>
          <w:szCs w:val="22"/>
        </w:rPr>
        <w:t xml:space="preserve">Show recruiters the complete, chronological history of a candidate's learning and development activity on the platform — creating a visual narrative of growth that demonstrates consistency, self-direction, and the compounding of skills over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What It Does</w:t>
            </w:r>
          </w:p>
        </w:tc>
        <w:tc>
          <w:tcPr>
            <w:tcW w:type="dxa" w:w="75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The Learning Journey Timeline is a chronological, visual record of every significant learning event in a candidate's platform history — from their first LMS enrolment to their most recent Dojo activity or mentor session. The timeline covers: LMS course enrolments and completions, assessment submissions and scores, Marketplace project starts and completions, mentor session dates and topics (summarised — not detailed), GD practice sessions and score trends, Dojo challenge completions and streak periods, competition participation dates, certification issue dates, and key skill endorsement dates. Each event is plotted on a visual horizontal timeline — with the ability to zoom in to a specific period (e.g., 'last 6 months') or view the full history. Events are colour-coded by type: LMS completions (blue), projects (green), mentor sessions (teal), GD practice (gold), Dojo activity (purple), competitions (red). The density of activity visible on the timeline — how many events per month — is itself a signal: a candidate with consistent, dense activity over 12 months is demonstrably different from a candidate with a burst of activity in the month before their application.</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How It Works</w:t>
            </w:r>
          </w:p>
        </w:tc>
        <w:tc>
          <w:tcPr>
            <w:tcW w:type="dxa" w:w="7560"/>
            <w:gridSpan w:val="1"/>
            <w:tcBorders>
              <w:top w:val="single" w:color="C5D4E8" w:sz="4"/>
              <w:left w:val="single" w:color="C5D4E8" w:sz="4"/>
              <w:bottom w:val="single" w:color="C5D4E8" w:sz="4"/>
              <w:right w:val="single" w:color="C5D4E8" w:sz="4"/>
            </w:tcBorders>
            <w:shd w:fill="F6F6F6"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Recruiter opens a candidate's profile → 'Learning Journey' tab. The timeline loads with a full-history view — earliest event on the left, most recent on the right. A zoom control allows the recruiter to focus on: All Time, Last 6 Months, Last 3 Months. A legend shows colour codes for each event type. Each event point is clickable — opening a tooltip with the event name, date, and outcome (e.g., 'Python Advanced LMS — Completed, Score 91/100' or 'DataCorp Dashboard Project — Completed, 5-star rating'). A monthly activity intensity bar chart runs below the timeline — showing the count of learning events per month. Peaks in activity are automatically labelled: 'Project Period (Oct–Nov 2025)' or 'Pre-Assessment Preparation (Mar 2026).' A Consistency Score (0–100) measures how evenly distributed learning activity has been over the observed period — a candidate who studies every month scores higher than one who only studies in concentrated bursts before deadlines.</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Example</w:t>
            </w:r>
          </w:p>
        </w:tc>
        <w:tc>
          <w:tcPr>
            <w:tcW w:type="dxa" w:w="75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Learning Journey Timeline — Rahul Sharma | Full History (Aug 2025 – Mar 2026):
[Timeline excerpt — key events plotted]
Aug 2025:
  [Blue] Business Communication LMS — Completed
  [Blue] Professional Email Writing LMS — Completed
  [Red] College Internal Datathon — Participated
Sep 2025:
  [Blue] Project Management Fundamentals — Completed
  [Teal] First mentor session with Priya Sharma (Career Roadmap — Domain Selection)
Oct 2025:
  [Blue] SQL Fundamentals LMS — Completed (Score 88/100)
  [Green] SalesMetrics CRM Data Cleaning Project — Started
  [Teal] Mentor session — Project approach review
  [Purple] Dojo streak begins — 15-day consecutive challenge completion
Nov 2025:
  [Blue] Tableau Basics LMS — Completed (Score 85/100)
  [Green] SalesMetrics Project — Completed (4-star rating)
  [Green] DataCorp Dashboard Project — Started
  [Red] TechFest Hackathon IIT Bombay — WON
Dec 2025:
  [Blue] Python Advanced LMS — Completed (Score 91/100)
  [Blue] Data Cleaning with Pandas — Completed
  [Green] DataCorp Project — Completed (5-star rating)
  [Gold] GD certificate issued
Jan 2026:
  [Blue] Data Visualisation Principles — Completed
  [Gold] GD average score: 71
  [Red] EcoSkiller Data Challenge Cup — Finalist
Mar 2026:
  [Purple] Dojo — 34-day consecutive streak
  [Teal] Pre-GD coaching session with mentor
  [Blue] GD Readiness Certificate issued
Monthly Activity Intensity: CONSISTENT — peak at Oct–Dec 2025 (project + study period), sustained through Q1 2026
Consistency Score: 84/100 — above-average learning consistency</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Why It Matters</w:t>
            </w:r>
          </w:p>
        </w:tc>
        <w:tc>
          <w:tcPr>
            <w:tcW w:type="dxa" w:w="7560"/>
            <w:gridSpan w:val="1"/>
            <w:tcBorders>
              <w:top w:val="single" w:color="C5D4E8" w:sz="4"/>
              <w:left w:val="single" w:color="C5D4E8" w:sz="4"/>
              <w:bottom w:val="single" w:color="C5D4E8" w:sz="4"/>
              <w:right w:val="single" w:color="C5D4E8" w:sz="4"/>
            </w:tcBorders>
            <w:shd w:fill="F6F6F6"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Activity density and consistency are the most under-used signals in candidate evaluation. A recruiter who sees a Learning Journey Timeline with consistent, multi-dimensional activity across 8 months is seeing evidence that this candidate's profile is not the result of a one-week application sprint — it is the product of sustained, self-directed development. The Consistency Score quantifies this: 84/100 means this candidate maintained learning activity across 8 months — not just before deadlines. This is the behavioural signal that predicts on-the-job learning agility more reliably than any interview question about learning agility. The 'Pre-Assessment Preparation' label on a March activity peak is also valuable — it shows the recruiter that the candidate was preparing specifically, not just generally active.</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Visibility</w:t>
            </w:r>
          </w:p>
        </w:tc>
        <w:tc>
          <w:tcPr>
            <w:tcW w:type="dxa" w:w="75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Recruiter (full timeline with all event types, zoom, click-to-detail, consistency score). Candidate (their own full timeline — motivating visibility into their own development history). Mentor (view-only — the timeline shows mentor sessions they conducted with this student). Public profile (summary version only — event count per month as a bar chart, no event details).</w:t>
            </w:r>
          </w:p>
        </w:tc>
      </w:tr>
    </w:tbl>
    <w:p>
      <w:pPr>
        <w:spacing w:before="200" w:after="0"/>
      </w:pPr>
    </w:p>
    <w:p>
      <w:pPr>
        <w:spacing w:before="240" w:after="80"/>
      </w:pPr>
      <w:r>
        <w:rPr>
          <w:rFonts w:ascii="Arial" w:cs="Arial" w:eastAsia="Arial" w:hAnsi="Arial"/>
          <w:b/>
          <w:bCs/>
          <w:color w:val="0D1B2A"/>
          <w:sz w:val="22"/>
          <w:szCs w:val="22"/>
        </w:rPr>
        <w:t xml:space="preserve">Implementation Checklist</w:t>
      </w:r>
    </w:p>
    <w:p>
      <w:pPr>
        <w:spacing w:before="40" w:after="40" w:line="280"/>
        <w:jc w:val="left"/>
      </w:pPr>
      <w:r>
        <w:rPr>
          <w:rFonts w:ascii="Arial" w:cs="Arial" w:eastAsia="Arial" w:hAnsi="Arial"/>
          <w:b w:val="false"/>
          <w:bCs w:val="false"/>
          <w:i w:val="false"/>
          <w:iCs w:val="false"/>
          <w:color w:val="1A1A1A"/>
          <w:sz w:val="20"/>
          <w:szCs w:val="20"/>
        </w:rPr>
        <w:t xml:space="preserve">☑  Timeline covers: LMS completions, assessments, projects, mentor sessions, GD practice, Dojo, competitions, certifications, endorsements</w:t>
      </w:r>
    </w:p>
    <w:p>
      <w:pPr>
        <w:spacing w:before="40" w:after="40" w:line="280"/>
        <w:jc w:val="left"/>
      </w:pPr>
      <w:r>
        <w:rPr>
          <w:rFonts w:ascii="Arial" w:cs="Arial" w:eastAsia="Arial" w:hAnsi="Arial"/>
          <w:b w:val="false"/>
          <w:bCs w:val="false"/>
          <w:i w:val="false"/>
          <w:iCs w:val="false"/>
          <w:color w:val="1A1A1A"/>
          <w:sz w:val="20"/>
          <w:szCs w:val="20"/>
        </w:rPr>
        <w:t xml:space="preserve">☑  Colour-coded by event type: LMS (blue), projects (green), mentor (teal), GD (gold), Dojo (purple), competitions (red)</w:t>
      </w:r>
    </w:p>
    <w:p>
      <w:pPr>
        <w:spacing w:before="40" w:after="40" w:line="280"/>
        <w:jc w:val="left"/>
      </w:pPr>
      <w:r>
        <w:rPr>
          <w:rFonts w:ascii="Arial" w:cs="Arial" w:eastAsia="Arial" w:hAnsi="Arial"/>
          <w:b w:val="false"/>
          <w:bCs w:val="false"/>
          <w:i w:val="false"/>
          <w:iCs w:val="false"/>
          <w:color w:val="1A1A1A"/>
          <w:sz w:val="20"/>
          <w:szCs w:val="20"/>
        </w:rPr>
        <w:t xml:space="preserve">☑  Zoom control: All Time / Last 6 Months / Last 3 Months</w:t>
      </w:r>
    </w:p>
    <w:p>
      <w:pPr>
        <w:spacing w:before="40" w:after="40" w:line="280"/>
        <w:jc w:val="left"/>
      </w:pPr>
      <w:r>
        <w:rPr>
          <w:rFonts w:ascii="Arial" w:cs="Arial" w:eastAsia="Arial" w:hAnsi="Arial"/>
          <w:b w:val="false"/>
          <w:bCs w:val="false"/>
          <w:i w:val="false"/>
          <w:iCs w:val="false"/>
          <w:color w:val="1A1A1A"/>
          <w:sz w:val="20"/>
          <w:szCs w:val="20"/>
        </w:rPr>
        <w:t xml:space="preserve">☑  Each event clickable — tooltip shows event name, date, and outcome</w:t>
      </w:r>
    </w:p>
    <w:p>
      <w:pPr>
        <w:spacing w:before="40" w:after="40" w:line="280"/>
        <w:jc w:val="left"/>
      </w:pPr>
      <w:r>
        <w:rPr>
          <w:rFonts w:ascii="Arial" w:cs="Arial" w:eastAsia="Arial" w:hAnsi="Arial"/>
          <w:b w:val="false"/>
          <w:bCs w:val="false"/>
          <w:i w:val="false"/>
          <w:iCs w:val="false"/>
          <w:color w:val="1A1A1A"/>
          <w:sz w:val="20"/>
          <w:szCs w:val="20"/>
        </w:rPr>
        <w:t xml:space="preserve">☑  Monthly activity intensity bar chart — runs below the timeline</w:t>
      </w:r>
    </w:p>
    <w:p>
      <w:pPr>
        <w:spacing w:before="40" w:after="40" w:line="280"/>
        <w:jc w:val="left"/>
      </w:pPr>
      <w:r>
        <w:rPr>
          <w:rFonts w:ascii="Arial" w:cs="Arial" w:eastAsia="Arial" w:hAnsi="Arial"/>
          <w:b w:val="false"/>
          <w:bCs w:val="false"/>
          <w:i w:val="false"/>
          <w:iCs w:val="false"/>
          <w:color w:val="1A1A1A"/>
          <w:sz w:val="20"/>
          <w:szCs w:val="20"/>
        </w:rPr>
        <w:t xml:space="preserve">☑  Activity peaks automatically labelled: 'Project Period,' 'Pre-Assessment Prep,' etc.</w:t>
      </w:r>
    </w:p>
    <w:p>
      <w:pPr>
        <w:spacing w:before="40" w:after="40" w:line="280"/>
        <w:jc w:val="left"/>
      </w:pPr>
      <w:r>
        <w:rPr>
          <w:rFonts w:ascii="Arial" w:cs="Arial" w:eastAsia="Arial" w:hAnsi="Arial"/>
          <w:b w:val="false"/>
          <w:bCs w:val="false"/>
          <w:i w:val="false"/>
          <w:iCs w:val="false"/>
          <w:color w:val="1A1A1A"/>
          <w:sz w:val="20"/>
          <w:szCs w:val="20"/>
        </w:rPr>
        <w:t xml:space="preserve">☑  Consistency Score (0–100): measures even distribution of learning activity over the period</w:t>
      </w:r>
    </w:p>
    <w:p>
      <w:pPr>
        <w:spacing w:before="40" w:after="40" w:line="280"/>
        <w:jc w:val="left"/>
      </w:pPr>
      <w:r>
        <w:rPr>
          <w:rFonts w:ascii="Arial" w:cs="Arial" w:eastAsia="Arial" w:hAnsi="Arial"/>
          <w:b w:val="false"/>
          <w:bCs w:val="false"/>
          <w:i w:val="false"/>
          <w:iCs w:val="false"/>
          <w:color w:val="1A1A1A"/>
          <w:sz w:val="20"/>
          <w:szCs w:val="20"/>
        </w:rPr>
        <w:t xml:space="preserve">☑  Public profile shows summary bar chart only — no event details without authentication</w:t>
      </w:r>
    </w:p>
    <w:p>
      <w:pPr>
        <w:pageBreakBefore/>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gridSpan w:val="1"/>
            <w:tcBorders>
              <w:top w:val="single" w:color="C5D4E8" w:sz="4"/>
              <w:left w:val="single" w:color="C5D4E8" w:sz="4"/>
              <w:bottom w:val="single" w:color="C5D4E8" w:sz="4"/>
              <w:right w:val="single" w:color="C5D4E8" w:sz="4"/>
            </w:tcBorders>
            <w:shd w:fill="0D1B2A" w:val="clear"/>
            <w:tcMar>
              <w:top w:type="dxa" w:w="110"/>
              <w:left w:type="dxa" w:w="170"/>
              <w:bottom w:type="dxa" w:w="110"/>
              <w:right w:type="dxa" w:w="170"/>
            </w:tcMar>
            <w:vAlign w:val="center"/>
          </w:tcPr>
          <w:p>
            <w:pPr>
              <w:spacing w:before="40" w:after="40"/>
              <w:jc w:val="center"/>
            </w:pPr>
            <w:r>
              <w:rPr>
                <w:rFonts w:ascii="Arial" w:cs="Arial" w:eastAsia="Arial" w:hAnsi="Arial"/>
                <w:b/>
                <w:bCs/>
                <w:i w:val="false"/>
                <w:iCs w:val="false"/>
                <w:color w:val="FFFFFF"/>
                <w:sz w:val="28"/>
                <w:szCs w:val="28"/>
              </w:rPr>
              <w:t xml:space="preserve">10.11</w:t>
            </w:r>
          </w:p>
        </w:tc>
        <w:tc>
          <w:tcPr>
            <w:tcW w:type="dxa" w:w="8660"/>
            <w:gridSpan w:val="1"/>
            <w:tcBorders>
              <w:top w:val="single" w:color="C5D4E8" w:sz="4"/>
              <w:left w:val="single" w:color="C5D4E8" w:sz="4"/>
              <w:bottom w:val="single" w:color="C5D4E8" w:sz="4"/>
              <w:right w:val="single" w:color="C5D4E8" w:sz="4"/>
            </w:tcBorders>
            <w:shd w:fill="0D1B2A"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8"/>
                <w:szCs w:val="28"/>
              </w:rPr>
              <w:t xml:space="preserve">Skill Growth Analytics</w:t>
            </w:r>
          </w:p>
        </w:tc>
      </w:tr>
    </w:tbl>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5D4E8" w:sz="4"/>
              <w:left w:val="single" w:color="C5D4E8" w:sz="4"/>
              <w:bottom w:val="single" w:color="C5D4E8" w:sz="4"/>
              <w:right w:val="single" w:color="C5D4E8" w:sz="4"/>
            </w:tcBorders>
            <w:shd w:fill="E0F4F6"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006D77"/>
                <w:sz w:val="18"/>
                <w:szCs w:val="18"/>
              </w:rPr>
              <w:t xml:space="preserve">[Skill Growth]   [Velocity Analytics]   [Development Rate]   [Improvement Tracking]</w:t>
            </w:r>
          </w:p>
        </w:tc>
      </w:tr>
    </w:tbl>
    <w:p>
      <w:pPr>
        <w:spacing w:before="0" w:after="200"/>
      </w:pPr>
    </w:p>
    <w:p>
      <w:pPr>
        <w:spacing w:before="0" w:after="60"/>
      </w:pPr>
      <w:r>
        <w:rPr>
          <w:rFonts w:ascii="Arial" w:cs="Arial" w:eastAsia="Arial" w:hAnsi="Arial"/>
          <w:b/>
          <w:bCs/>
          <w:color w:val="006D77"/>
          <w:sz w:val="24"/>
          <w:szCs w:val="24"/>
        </w:rPr>
        <w:t xml:space="preserve">Purpose</w:t>
      </w:r>
    </w:p>
    <w:p>
      <w:pPr>
        <w:spacing w:before="40" w:after="200" w:line="280"/>
        <w:jc w:val="left"/>
      </w:pPr>
      <w:r>
        <w:rPr>
          <w:rFonts w:ascii="Arial" w:cs="Arial" w:eastAsia="Arial" w:hAnsi="Arial"/>
          <w:b w:val="false"/>
          <w:bCs w:val="false"/>
          <w:i/>
          <w:iCs/>
          <w:color w:val="555555"/>
          <w:sz w:val="22"/>
          <w:szCs w:val="22"/>
        </w:rPr>
        <w:t xml:space="preserve">Quantify and visualise the rate at which a candidate's skills have developed over their platform history — giving recruiters evidence of learning velocity, not just current skill level, as a predictor of future professional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What It Does</w:t>
            </w:r>
          </w:p>
        </w:tc>
        <w:tc>
          <w:tcPr>
            <w:tcW w:type="dxa" w:w="75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Skill Growth Analytics measures how quickly and how broadly a candidate's verified skill profile has developed over time. The analytics suite shows five metrics: Skill Acquisition Rate (how many new platform-certified or mentor-endorsed skills the candidate has added per month — averaged over their platform history), Proficiency Advancement Rate (for skills they held at the start of their platform history, how many have advanced by at least one proficiency level — and at what speed), Domain Expansion Index (how many distinct skill domains the candidate has added to their profile — measures breadth of development), Skill Depth Progression (for the candidate's top 3 skills by depth, the trajectory from first certification to current endorsement level — plotted as a step chart), and Skill Gap Closure Rate (for skill gaps identified in previous assessments — what percentage has the candidate addressed through LMS completion, Dojo activity, or new endorsements within 90 days of identification). A Skill Growth Velocity Score (0–100) synthesises these five metrics into a single comparable number.</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How It Works</w:t>
            </w:r>
          </w:p>
        </w:tc>
        <w:tc>
          <w:tcPr>
            <w:tcW w:type="dxa" w:w="7560"/>
            <w:gridSpan w:val="1"/>
            <w:tcBorders>
              <w:top w:val="single" w:color="C5D4E8" w:sz="4"/>
              <w:left w:val="single" w:color="C5D4E8" w:sz="4"/>
              <w:bottom w:val="single" w:color="C5D4E8" w:sz="4"/>
              <w:right w:val="single" w:color="C5D4E8" w:sz="4"/>
            </w:tcBorders>
            <w:shd w:fill="F6F6F6"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Recruiter opens a candidate's profile → 'Skill Analytics' tab. The tab loads five chart panels — one per metric. The Skill Acquisition Rate panel shows a month-by-month bar chart: how many new skills were added each month. The Proficiency Advancement panel shows a table of top 5 skills with their level at first appearance and current level — with the time elapsed between levels. The Domain Expansion Index shows a radar chart: domains represented at Month 1 vs now. The Skill Depth Progression shows a step chart for the top 3 skills. The Skill Gap Closure Rate shows a donut chart: gaps identified vs gaps addressed. Below all panels, the Skill Growth Velocity Score is displayed with a peer percentile: 'Skill Growth Velocity: 72/100 — Top 28% of platform candidates in the same domain and experience bracket.' The recruiter can see this score alongside the candidate's current proficiency levels — distinguishing between a candidate who has always been strong and one who has recently become strong.</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Example</w:t>
            </w:r>
          </w:p>
        </w:tc>
        <w:tc>
          <w:tcPr>
            <w:tcW w:type="dxa" w:w="75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Skill Growth Analytics — Rahul Sharma | Data Analytics Domain | March 2026:
Skill Growth Velocity Score: 74/100 — Top 26% of Data Analytics candidates, Aug–Mar cohort
Skill Acquisition Rate:
Aug 2025: 2 new skills (Business Comm, Email Writing)
Sep 2025: 1 new skill (Project Management)
Oct 2025: 2 new skills (SQL, Data Cleaning)
Nov 2025: 2 new skills (Tableau, Visualisation Principles)
Dec 2025: 2 new skills (Python Advanced, Pandas)
Jan 2026: 2 new skills (Data Visualisation, Dojo — Problem Structuring)
Feb–Mar 2026: 2 new skills (AWS Cloud Practitioner — external, SQL Advanced in progress)
Average acquisition rate: 1.5 verified skills/month (above cohort average: 0.9/month)
Proficiency Advancement — Top 3 Skills:
Python: Foundational (Aug 2025) → Intermediate (Nov 2025) → Advanced (Dec 2025) — Advanced in 4 months
SQL: Foundational (Oct 2025) → Intermediate (Jan 2026) — Intermediate in 3 months
Tableau: Foundational (Nov 2025) — maintained, not yet advanced
Domain Expansion: 3 domains in Aug 2025 (Communication, Project Management, Data) → 6 domains in Mar 2026 (+ Cloud, Analytics, Visualisation)
Skill Gap Closure Rate: 2 gaps identified after TechSolutions assessment (Python Advanced, SQL CTE) | 1 gap addressed within 30 days (Python Advanced module completed) | 1 in progress (SQL Advanced, 67% complete) — Closure rate: 50% within 30 days | 100% in progress</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Why It Matters</w:t>
            </w:r>
          </w:p>
        </w:tc>
        <w:tc>
          <w:tcPr>
            <w:tcW w:type="dxa" w:w="7560"/>
            <w:gridSpan w:val="1"/>
            <w:tcBorders>
              <w:top w:val="single" w:color="C5D4E8" w:sz="4"/>
              <w:left w:val="single" w:color="C5D4E8" w:sz="4"/>
              <w:bottom w:val="single" w:color="C5D4E8" w:sz="4"/>
              <w:right w:val="single" w:color="C5D4E8" w:sz="4"/>
            </w:tcBorders>
            <w:shd w:fill="F6F6F6"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Current skill level is a snapshot. Skill growth velocity is a predictor. A candidate with Advanced Python today who reached that level in 4 months from a Foundational starting point is demonstrating a learning rate that a recruiter should weight very differently from a candidate who has been at Intermediate Python for 18 months. The velocity score asks: 'Given where this candidate started and how much time has passed, how fast are they developing?' A high velocity score with a slightly lower current skill level is often a better hire than a high current skill level with a low velocity score — because the first candidate will be better than the second candidate within 6 months of joining. This is the insight that separates a skills-based hiring decision from a skills-and-trajectory-based hiring decision.</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Visibility</w:t>
            </w:r>
          </w:p>
        </w:tc>
        <w:tc>
          <w:tcPr>
            <w:tcW w:type="dxa" w:w="75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Recruiter (full analytics suite — all 5 panels, velocity score, peer percentile). Candidate (their own analytics — with personal interpretation and development suggestions). Mentor (view-only — sees student's growth velocity to calibrate coaching pace). Platform Admin (aggregate data for platform-level analytics and cohort comparisons). Peer percentile benchmarks computed anonymously — individual candidate data not shared.</w:t>
            </w:r>
          </w:p>
        </w:tc>
      </w:tr>
    </w:tbl>
    <w:p>
      <w:pPr>
        <w:spacing w:before="200" w:after="0"/>
      </w:pPr>
    </w:p>
    <w:p>
      <w:pPr>
        <w:spacing w:before="240" w:after="80"/>
      </w:pPr>
      <w:r>
        <w:rPr>
          <w:rFonts w:ascii="Arial" w:cs="Arial" w:eastAsia="Arial" w:hAnsi="Arial"/>
          <w:b/>
          <w:bCs/>
          <w:color w:val="0D1B2A"/>
          <w:sz w:val="22"/>
          <w:szCs w:val="22"/>
        </w:rPr>
        <w:t xml:space="preserve">Implementation Checklist</w:t>
      </w:r>
    </w:p>
    <w:p>
      <w:pPr>
        <w:spacing w:before="40" w:after="40" w:line="280"/>
        <w:jc w:val="left"/>
      </w:pPr>
      <w:r>
        <w:rPr>
          <w:rFonts w:ascii="Arial" w:cs="Arial" w:eastAsia="Arial" w:hAnsi="Arial"/>
          <w:b w:val="false"/>
          <w:bCs w:val="false"/>
          <w:i w:val="false"/>
          <w:iCs w:val="false"/>
          <w:color w:val="1A1A1A"/>
          <w:sz w:val="20"/>
          <w:szCs w:val="20"/>
        </w:rPr>
        <w:t xml:space="preserve">☑  Five metrics: Acquisition Rate, Proficiency Advancement Rate, Domain Expansion Index, Depth Progression, Gap Closure Rate</w:t>
      </w:r>
    </w:p>
    <w:p>
      <w:pPr>
        <w:spacing w:before="40" w:after="40" w:line="280"/>
        <w:jc w:val="left"/>
      </w:pPr>
      <w:r>
        <w:rPr>
          <w:rFonts w:ascii="Arial" w:cs="Arial" w:eastAsia="Arial" w:hAnsi="Arial"/>
          <w:b w:val="false"/>
          <w:bCs w:val="false"/>
          <w:i w:val="false"/>
          <w:iCs w:val="false"/>
          <w:color w:val="1A1A1A"/>
          <w:sz w:val="20"/>
          <w:szCs w:val="20"/>
        </w:rPr>
        <w:t xml:space="preserve">☑  Skill Growth Velocity Score (0–100) synthesises all five metrics</w:t>
      </w:r>
    </w:p>
    <w:p>
      <w:pPr>
        <w:spacing w:before="40" w:after="40" w:line="280"/>
        <w:jc w:val="left"/>
      </w:pPr>
      <w:r>
        <w:rPr>
          <w:rFonts w:ascii="Arial" w:cs="Arial" w:eastAsia="Arial" w:hAnsi="Arial"/>
          <w:b w:val="false"/>
          <w:bCs w:val="false"/>
          <w:i w:val="false"/>
          <w:iCs w:val="false"/>
          <w:color w:val="1A1A1A"/>
          <w:sz w:val="20"/>
          <w:szCs w:val="20"/>
        </w:rPr>
        <w:t xml:space="preserve">☑  Peer percentile: velocity score compared to same domain, same cohort start date</w:t>
      </w:r>
    </w:p>
    <w:p>
      <w:pPr>
        <w:spacing w:before="40" w:after="40" w:line="280"/>
        <w:jc w:val="left"/>
      </w:pPr>
      <w:r>
        <w:rPr>
          <w:rFonts w:ascii="Arial" w:cs="Arial" w:eastAsia="Arial" w:hAnsi="Arial"/>
          <w:b w:val="false"/>
          <w:bCs w:val="false"/>
          <w:i w:val="false"/>
          <w:iCs w:val="false"/>
          <w:color w:val="1A1A1A"/>
          <w:sz w:val="20"/>
          <w:szCs w:val="20"/>
        </w:rPr>
        <w:t xml:space="preserve">☑  Acquisition Rate: month-by-month bar chart with cohort average comparison line</w:t>
      </w:r>
    </w:p>
    <w:p>
      <w:pPr>
        <w:spacing w:before="40" w:after="40" w:line="280"/>
        <w:jc w:val="left"/>
      </w:pPr>
      <w:r>
        <w:rPr>
          <w:rFonts w:ascii="Arial" w:cs="Arial" w:eastAsia="Arial" w:hAnsi="Arial"/>
          <w:b w:val="false"/>
          <w:bCs w:val="false"/>
          <w:i w:val="false"/>
          <w:iCs w:val="false"/>
          <w:color w:val="1A1A1A"/>
          <w:sz w:val="20"/>
          <w:szCs w:val="20"/>
        </w:rPr>
        <w:t xml:space="preserve">☑  Proficiency Advancement: table showing skill level at first appearance vs current, time between levels</w:t>
      </w:r>
    </w:p>
    <w:p>
      <w:pPr>
        <w:spacing w:before="40" w:after="40" w:line="280"/>
        <w:jc w:val="left"/>
      </w:pPr>
      <w:r>
        <w:rPr>
          <w:rFonts w:ascii="Arial" w:cs="Arial" w:eastAsia="Arial" w:hAnsi="Arial"/>
          <w:b w:val="false"/>
          <w:bCs w:val="false"/>
          <w:i w:val="false"/>
          <w:iCs w:val="false"/>
          <w:color w:val="1A1A1A"/>
          <w:sz w:val="20"/>
          <w:szCs w:val="20"/>
        </w:rPr>
        <w:t xml:space="preserve">☑  Domain Expansion Index: radar chart — domains at Month 1 vs now</w:t>
      </w:r>
    </w:p>
    <w:p>
      <w:pPr>
        <w:spacing w:before="40" w:after="40" w:line="280"/>
        <w:jc w:val="left"/>
      </w:pPr>
      <w:r>
        <w:rPr>
          <w:rFonts w:ascii="Arial" w:cs="Arial" w:eastAsia="Arial" w:hAnsi="Arial"/>
          <w:b w:val="false"/>
          <w:bCs w:val="false"/>
          <w:i w:val="false"/>
          <w:iCs w:val="false"/>
          <w:color w:val="1A1A1A"/>
          <w:sz w:val="20"/>
          <w:szCs w:val="20"/>
        </w:rPr>
        <w:t xml:space="preserve">☑  Skill Gap Closure Rate: donut chart — gaps identified vs addressed vs in progress</w:t>
      </w:r>
    </w:p>
    <w:p>
      <w:pPr>
        <w:spacing w:before="40" w:after="40" w:line="280"/>
        <w:jc w:val="left"/>
      </w:pPr>
      <w:r>
        <w:rPr>
          <w:rFonts w:ascii="Arial" w:cs="Arial" w:eastAsia="Arial" w:hAnsi="Arial"/>
          <w:b w:val="false"/>
          <w:bCs w:val="false"/>
          <w:i w:val="false"/>
          <w:iCs w:val="false"/>
          <w:color w:val="1A1A1A"/>
          <w:sz w:val="20"/>
          <w:szCs w:val="20"/>
        </w:rPr>
        <w:t xml:space="preserve">☑  Distinction between high current level vs high velocity — recruiter sees both signals independently</w:t>
      </w:r>
    </w:p>
    <w:p>
      <w:pPr>
        <w:pageBreakBefore/>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gridSpan w:val="1"/>
            <w:tcBorders>
              <w:top w:val="single" w:color="C5D4E8" w:sz="4"/>
              <w:left w:val="single" w:color="C5D4E8" w:sz="4"/>
              <w:bottom w:val="single" w:color="C5D4E8" w:sz="4"/>
              <w:right w:val="single" w:color="C5D4E8" w:sz="4"/>
            </w:tcBorders>
            <w:shd w:fill="0D1B2A" w:val="clear"/>
            <w:tcMar>
              <w:top w:type="dxa" w:w="110"/>
              <w:left w:type="dxa" w:w="170"/>
              <w:bottom w:type="dxa" w:w="110"/>
              <w:right w:type="dxa" w:w="170"/>
            </w:tcMar>
            <w:vAlign w:val="center"/>
          </w:tcPr>
          <w:p>
            <w:pPr>
              <w:spacing w:before="40" w:after="40"/>
              <w:jc w:val="center"/>
            </w:pPr>
            <w:r>
              <w:rPr>
                <w:rFonts w:ascii="Arial" w:cs="Arial" w:eastAsia="Arial" w:hAnsi="Arial"/>
                <w:b/>
                <w:bCs/>
                <w:i w:val="false"/>
                <w:iCs w:val="false"/>
                <w:color w:val="FFFFFF"/>
                <w:sz w:val="28"/>
                <w:szCs w:val="28"/>
              </w:rPr>
              <w:t xml:space="preserve">10.12</w:t>
            </w:r>
          </w:p>
        </w:tc>
        <w:tc>
          <w:tcPr>
            <w:tcW w:type="dxa" w:w="8660"/>
            <w:gridSpan w:val="1"/>
            <w:tcBorders>
              <w:top w:val="single" w:color="C5D4E8" w:sz="4"/>
              <w:left w:val="single" w:color="C5D4E8" w:sz="4"/>
              <w:bottom w:val="single" w:color="C5D4E8" w:sz="4"/>
              <w:right w:val="single" w:color="C5D4E8" w:sz="4"/>
            </w:tcBorders>
            <w:shd w:fill="0D1B2A"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8"/>
                <w:szCs w:val="28"/>
              </w:rPr>
              <w:t xml:space="preserve">Career Readiness Index</w:t>
            </w:r>
          </w:p>
        </w:tc>
      </w:tr>
    </w:tbl>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5D4E8" w:sz="4"/>
              <w:left w:val="single" w:color="C5D4E8" w:sz="4"/>
              <w:bottom w:val="single" w:color="C5D4E8" w:sz="4"/>
              <w:right w:val="single" w:color="C5D4E8" w:sz="4"/>
            </w:tcBorders>
            <w:shd w:fill="E0F4F6"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006D77"/>
                <w:sz w:val="18"/>
                <w:szCs w:val="18"/>
              </w:rPr>
              <w:t xml:space="preserve">[Career Readiness]   [Composite Score]   [Hiring Signal]   [Platform Summary]</w:t>
            </w:r>
          </w:p>
        </w:tc>
      </w:tr>
    </w:tbl>
    <w:p>
      <w:pPr>
        <w:spacing w:before="0" w:after="200"/>
      </w:pPr>
    </w:p>
    <w:p>
      <w:pPr>
        <w:spacing w:before="0" w:after="60"/>
      </w:pPr>
      <w:r>
        <w:rPr>
          <w:rFonts w:ascii="Arial" w:cs="Arial" w:eastAsia="Arial" w:hAnsi="Arial"/>
          <w:b/>
          <w:bCs/>
          <w:color w:val="006D77"/>
          <w:sz w:val="24"/>
          <w:szCs w:val="24"/>
        </w:rPr>
        <w:t xml:space="preserve">Purpose</w:t>
      </w:r>
    </w:p>
    <w:p>
      <w:pPr>
        <w:spacing w:before="40" w:after="200" w:line="280"/>
        <w:jc w:val="left"/>
      </w:pPr>
      <w:r>
        <w:rPr>
          <w:rFonts w:ascii="Arial" w:cs="Arial" w:eastAsia="Arial" w:hAnsi="Arial"/>
          <w:b w:val="false"/>
          <w:bCs w:val="false"/>
          <w:i/>
          <w:iCs/>
          <w:color w:val="555555"/>
          <w:sz w:val="22"/>
          <w:szCs w:val="22"/>
        </w:rPr>
        <w:t xml:space="preserve">Synthesise all of a candidate's platform data — skills, projects, GD scores, mentor assessments, certifications, and activity patterns — into a single, meaningful composite score that gives recruiters a reliable, comparable measure of overall job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What It Does</w:t>
            </w:r>
          </w:p>
        </w:tc>
        <w:tc>
          <w:tcPr>
            <w:tcW w:type="dxa" w:w="75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The Career Readiness Index (CRI) is the headline composite score on every candidate's EcoSkiller profile — displayed prominently in the profile header, visible to recruiters at a glance. The CRI is calculated from six weighted components: Skill Verification Score (25% weight — depth and verification tier of the candidate's top 10 skills), Project Quality Score (20% weight — average company rating × completion rate across all Marketplace projects), Mentor Endorsement Score (20% weight — endorsement levels, mentor Credibility Score weighting, and number of distinct skills endorsed), GD and Communication Score (15% weight — latest GD score, trend direction, and GD Readiness Certificate status), Platform Activity Consistency (10% weight — Consistency Score from the Learning Journey Timeline), and External Validation Score (10% weight — certifications, competition achievements, hackathon wins, Git activity, internship verification). The CRI is recalculated weekly — it rises and falls with the candidate's platform activity. A CRI of 80+ is considered strongly job-ready for most roles at the experience level the student represents.</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How It Works</w:t>
            </w:r>
          </w:p>
        </w:tc>
        <w:tc>
          <w:tcPr>
            <w:tcW w:type="dxa" w:w="7560"/>
            <w:gridSpan w:val="1"/>
            <w:tcBorders>
              <w:top w:val="single" w:color="C5D4E8" w:sz="4"/>
              <w:left w:val="single" w:color="C5D4E8" w:sz="4"/>
              <w:bottom w:val="single" w:color="C5D4E8" w:sz="4"/>
              <w:right w:val="single" w:color="C5D4E8" w:sz="4"/>
            </w:tcBorders>
            <w:shd w:fill="F6F6F6"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The CRI is displayed as a circular score gauge in the top-right of the candidate's profile header — highly visible without requiring the recruiter to scroll or navigate. The score is colour-coded: 0–49 (red — developing), 50–69 (amber — progressing), 70–84 (green — job-ready), 85–100 (teal — exceptionally prepared). Clicking the CRI opens a CRI Breakdown Panel showing the six component scores with individual bars — the recruiter can see exactly which dimensions are strong and which are weak. Below the breakdown, a plain-language summary is shown: 'Rahul's strongest signals are Project Quality (92/100) and Skill Verification (88/100). His GD Communication Score is above average. His External Validation has room to grow.' The CRI trend arrow shows whether the score has been rising, stable, or falling in the past 30 days — a rising CRI on a candidate who is in the process of completing platform activities is a strong hiring signal. In the recruiter's candidate pipeline view, all candidates can be sorted by CRI — the simplest possible shortlisting starting point.</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Example</w:t>
            </w:r>
          </w:p>
        </w:tc>
        <w:tc>
          <w:tcPr>
            <w:tcW w:type="dxa" w:w="75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Career Readiness Index — Rahul Sharma | March 2026:
CRI: 78/100 [Green — Job Ready]
CRI Trend: UP (+6 points in last 30 days)
Component Breakdown:
Skill Verification Score      88/100  (Weight 25%)  Contribution: 22.0
  [Strong — 8 platform certs, 4 mentor endorsements at Advanced level]
Project Quality Score         92/100  (Weight 20%)  Contribution: 18.4
  [Strong — 2 projects, avg 4.5/5 company rating, 100% on-time]
Mentor Endorsement Score      82/100  (Weight 20%)  Contribution: 16.4
  [Strong — 4 endorsed skills from Credibility-91 mentor]
GD &amp; Communication Score      76/100  (Weight 15%)  Contribution: 11.4
  [Above average — GD score 71, GD Readiness Certificate issued]
Platform Activity Consistency 84/100  (Weight 10%)  Contribution: 8.4
  [Strong — 8-month consistent activity, Consistency Score 84]
External Validation           62/100  (Weight 10%)  Contribution: 6.2
  [Developing — hackathon finalist, Git active, 2 external certs]
Total CRI: 82.8 → Displayed as 78 (conservative rounding applied)
Plain-language Summary: 'Rahul's strongest signals are Project Quality (92) and Skill Verification (88) — both driven by real, verified platform work. His activity consistency is above average. External validation (competitions, external certifications) is the area with the most growth potential.'
Pipeline comparison (23 candidates, same role):
CRI above 70: 7 of 23 candidates (Rahul ranked 2nd)
CRI 50–69: 11 of 23 candidates
CRI below 50: 5 of 23 candidates</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Why It Matters</w:t>
            </w:r>
          </w:p>
        </w:tc>
        <w:tc>
          <w:tcPr>
            <w:tcW w:type="dxa" w:w="7560"/>
            <w:gridSpan w:val="1"/>
            <w:tcBorders>
              <w:top w:val="single" w:color="C5D4E8" w:sz="4"/>
              <w:left w:val="single" w:color="C5D4E8" w:sz="4"/>
              <w:bottom w:val="single" w:color="C5D4E8" w:sz="4"/>
              <w:right w:val="single" w:color="C5D4E8" w:sz="4"/>
            </w:tcBorders>
            <w:shd w:fill="F6F6F6"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In a pipeline of 23 candidates, a recruiter who sorts by Career Readiness Index has an immediately actionable ranking: the 7 candidates above 70 are their priority review pool. This is not algorithmic replacement of human judgment — it is algorithmic pre-qualification. The six-component breakdown means the CRI is never a black box: the recruiter can see that Rahul's CRI is driven by verified project work and mentor endorsements, not by gaming any single metric. The trend arrow is as important as the number: a candidate at 68 with a rising CRI (+8 in 30 days) who is actively completing LMS modules during the application period is demonstrating something qualitative — they are working to be ready, not waiting to be evaluated. This is precisely the behaviour that predicts on-the-job improvement.</w:t>
            </w:r>
          </w:p>
        </w:tc>
      </w:tr>
      <w:tr>
        <w:tc>
          <w:tcPr>
            <w:tcW w:type="dxa" w:w="1800"/>
            <w:gridSpan w:val="1"/>
            <w:tcBorders>
              <w:top w:val="single" w:color="C5D4E8" w:sz="4"/>
              <w:left w:val="single" w:color="C5D4E8" w:sz="4"/>
              <w:bottom w:val="single" w:color="C5D4E8" w:sz="4"/>
              <w:right w:val="single" w:color="C5D4E8" w:sz="4"/>
            </w:tcBorders>
            <w:shd w:fill="1A3A5C" w:val="clear"/>
            <w:tcMar>
              <w:top w:type="dxa" w:w="110"/>
              <w:left w:type="dxa" w:w="170"/>
              <w:bottom w:type="dxa" w:w="110"/>
              <w:right w:type="dxa" w:w="170"/>
            </w:tcMar>
            <w:vAlign w:val="center"/>
          </w:tcPr>
          <w:p>
            <w:pPr>
              <w:spacing w:before="40" w:after="40"/>
              <w:jc w:val="left"/>
            </w:pPr>
            <w:r>
              <w:rPr>
                <w:rFonts w:ascii="Arial" w:cs="Arial" w:eastAsia="Arial" w:hAnsi="Arial"/>
                <w:b/>
                <w:bCs/>
                <w:i w:val="false"/>
                <w:iCs w:val="false"/>
                <w:color w:val="FFFFFF"/>
                <w:sz w:val="20"/>
                <w:szCs w:val="20"/>
              </w:rPr>
              <w:t xml:space="preserve">Visibility</w:t>
            </w:r>
          </w:p>
        </w:tc>
        <w:tc>
          <w:tcPr>
            <w:tcW w:type="dxa" w:w="7560"/>
            <w:gridSpan w:val="1"/>
            <w:tcBorders>
              <w:top w:val="single" w:color="C5D4E8" w:sz="4"/>
              <w:left w:val="single" w:color="C5D4E8" w:sz="4"/>
              <w:bottom w:val="single" w:color="C5D4E8" w:sz="4"/>
              <w:right w:val="single" w:color="C5D4E8" w:sz="4"/>
            </w:tcBorders>
            <w:shd w:fill="FFFFFF" w:val="clear"/>
            <w:tcMar>
              <w:top w:type="dxa" w:w="110"/>
              <w:left w:type="dxa" w:w="170"/>
              <w:bottom w:type="dxa" w:w="110"/>
              <w:right w:type="dxa" w:w="170"/>
            </w:tcMar>
            <w:vAlign w:val="center"/>
          </w:tcPr>
          <w:p>
            <w:pPr>
              <w:spacing w:before="40" w:after="40"/>
              <w:jc w:val="left"/>
            </w:pPr>
            <w:r>
              <w:rPr>
                <w:rFonts w:ascii="Arial" w:cs="Arial" w:eastAsia="Arial" w:hAnsi="Arial"/>
                <w:b w:val="false"/>
                <w:bCs w:val="false"/>
                <w:i w:val="false"/>
                <w:iCs w:val="false"/>
                <w:color w:val="1A1A1A"/>
                <w:sz w:val="20"/>
                <w:szCs w:val="20"/>
              </w:rPr>
              <w:t xml:space="preserve">Recruiter (CRI score, colour tier, trend arrow, and full component breakdown panel). Candidate (their own CRI with full breakdown and improvement suggestions per component). Mentor (can see mentored students' CRI — tracks coaching impact). Institute (aggregate CRI distribution for their student cohort — no individual data without consent). Public Profile (CRI tier colour only — not the number — to protect the candidate from CRI-based discrimination without context). Pipeline view: sortable by CRI.</w:t>
            </w:r>
          </w:p>
        </w:tc>
      </w:tr>
    </w:tbl>
    <w:p>
      <w:pPr>
        <w:spacing w:before="200" w:after="0"/>
      </w:pPr>
    </w:p>
    <w:p>
      <w:pPr>
        <w:spacing w:before="240" w:after="80"/>
      </w:pPr>
      <w:r>
        <w:rPr>
          <w:rFonts w:ascii="Arial" w:cs="Arial" w:eastAsia="Arial" w:hAnsi="Arial"/>
          <w:b/>
          <w:bCs/>
          <w:color w:val="0D1B2A"/>
          <w:sz w:val="22"/>
          <w:szCs w:val="22"/>
        </w:rPr>
        <w:t xml:space="preserve">Implementation Checklist</w:t>
      </w:r>
    </w:p>
    <w:p>
      <w:pPr>
        <w:spacing w:before="40" w:after="40" w:line="280"/>
        <w:jc w:val="left"/>
      </w:pPr>
      <w:r>
        <w:rPr>
          <w:rFonts w:ascii="Arial" w:cs="Arial" w:eastAsia="Arial" w:hAnsi="Arial"/>
          <w:b w:val="false"/>
          <w:bCs w:val="false"/>
          <w:i w:val="false"/>
          <w:iCs w:val="false"/>
          <w:color w:val="1A1A1A"/>
          <w:sz w:val="20"/>
          <w:szCs w:val="20"/>
        </w:rPr>
        <w:t xml:space="preserve">☑  Six CRI components with weights: Skills (25%), Projects (20%), Mentor (20%), GD (15%), Activity (10%), External (10%)</w:t>
      </w:r>
    </w:p>
    <w:p>
      <w:pPr>
        <w:spacing w:before="40" w:after="40" w:line="280"/>
        <w:jc w:val="left"/>
      </w:pPr>
      <w:r>
        <w:rPr>
          <w:rFonts w:ascii="Arial" w:cs="Arial" w:eastAsia="Arial" w:hAnsi="Arial"/>
          <w:b w:val="false"/>
          <w:bCs w:val="false"/>
          <w:i w:val="false"/>
          <w:iCs w:val="false"/>
          <w:color w:val="1A1A1A"/>
          <w:sz w:val="20"/>
          <w:szCs w:val="20"/>
        </w:rPr>
        <w:t xml:space="preserve">☑  CRI colour tiers: Red (0–49 developing), Amber (50–69 progressing), Green (70–84 job-ready), Teal (85–100 exceptional)</w:t>
      </w:r>
    </w:p>
    <w:p>
      <w:pPr>
        <w:spacing w:before="40" w:after="40" w:line="280"/>
        <w:jc w:val="left"/>
      </w:pPr>
      <w:r>
        <w:rPr>
          <w:rFonts w:ascii="Arial" w:cs="Arial" w:eastAsia="Arial" w:hAnsi="Arial"/>
          <w:b w:val="false"/>
          <w:bCs w:val="false"/>
          <w:i w:val="false"/>
          <w:iCs w:val="false"/>
          <w:color w:val="1A1A1A"/>
          <w:sz w:val="20"/>
          <w:szCs w:val="20"/>
        </w:rPr>
        <w:t xml:space="preserve">☑  CRI displayed in profile header — visible without scrolling, circular gauge format</w:t>
      </w:r>
    </w:p>
    <w:p>
      <w:pPr>
        <w:spacing w:before="40" w:after="40" w:line="280"/>
        <w:jc w:val="left"/>
      </w:pPr>
      <w:r>
        <w:rPr>
          <w:rFonts w:ascii="Arial" w:cs="Arial" w:eastAsia="Arial" w:hAnsi="Arial"/>
          <w:b w:val="false"/>
          <w:bCs w:val="false"/>
          <w:i w:val="false"/>
          <w:iCs w:val="false"/>
          <w:color w:val="1A1A1A"/>
          <w:sz w:val="20"/>
          <w:szCs w:val="20"/>
        </w:rPr>
        <w:t xml:space="preserve">☑  CRI breakdown panel: per-component score and contribution to total — opened via click</w:t>
      </w:r>
    </w:p>
    <w:p>
      <w:pPr>
        <w:spacing w:before="40" w:after="40" w:line="280"/>
        <w:jc w:val="left"/>
      </w:pPr>
      <w:r>
        <w:rPr>
          <w:rFonts w:ascii="Arial" w:cs="Arial" w:eastAsia="Arial" w:hAnsi="Arial"/>
          <w:b w:val="false"/>
          <w:bCs w:val="false"/>
          <w:i w:val="false"/>
          <w:iCs w:val="false"/>
          <w:color w:val="1A1A1A"/>
          <w:sz w:val="20"/>
          <w:szCs w:val="20"/>
        </w:rPr>
        <w:t xml:space="preserve">☑  Plain-language summary: identifies strongest and weakest components in readable format</w:t>
      </w:r>
    </w:p>
    <w:p>
      <w:pPr>
        <w:spacing w:before="40" w:after="40" w:line="280"/>
        <w:jc w:val="left"/>
      </w:pPr>
      <w:r>
        <w:rPr>
          <w:rFonts w:ascii="Arial" w:cs="Arial" w:eastAsia="Arial" w:hAnsi="Arial"/>
          <w:b w:val="false"/>
          <w:bCs w:val="false"/>
          <w:i w:val="false"/>
          <w:iCs w:val="false"/>
          <w:color w:val="1A1A1A"/>
          <w:sz w:val="20"/>
          <w:szCs w:val="20"/>
        </w:rPr>
        <w:t xml:space="preserve">☑  CRI trend arrow: rising/stable/falling over last 30 days — recalculated weekly</w:t>
      </w:r>
    </w:p>
    <w:p>
      <w:pPr>
        <w:spacing w:before="40" w:after="40" w:line="280"/>
        <w:jc w:val="left"/>
      </w:pPr>
      <w:r>
        <w:rPr>
          <w:rFonts w:ascii="Arial" w:cs="Arial" w:eastAsia="Arial" w:hAnsi="Arial"/>
          <w:b w:val="false"/>
          <w:bCs w:val="false"/>
          <w:i w:val="false"/>
          <w:iCs w:val="false"/>
          <w:color w:val="1A1A1A"/>
          <w:sz w:val="20"/>
          <w:szCs w:val="20"/>
        </w:rPr>
        <w:t xml:space="preserve">☑  Pipeline view sortable by CRI — simplest possible shortlisting starting point</w:t>
      </w:r>
    </w:p>
    <w:p>
      <w:pPr>
        <w:spacing w:before="40" w:after="40" w:line="280"/>
        <w:jc w:val="left"/>
      </w:pPr>
      <w:r>
        <w:rPr>
          <w:rFonts w:ascii="Arial" w:cs="Arial" w:eastAsia="Arial" w:hAnsi="Arial"/>
          <w:b w:val="false"/>
          <w:bCs w:val="false"/>
          <w:i w:val="false"/>
          <w:iCs w:val="false"/>
          <w:color w:val="1A1A1A"/>
          <w:sz w:val="20"/>
          <w:szCs w:val="20"/>
        </w:rPr>
        <w:t xml:space="preserve">☑  Public profile shows colour tier only — not the number — to prevent context-free discrimination</w:t>
      </w:r>
    </w:p>
    <w:p>
      <w:pPr>
        <w:pageBreakBefore/>
        <w:spacing w:before="0" w:after="0"/>
      </w:pPr>
    </w:p>
    <w:p>
      <w:pPr>
        <w:pBdr>
          <w:bottom w:val="single" w:color="0D1B2A" w:sz="8" w:space="2"/>
        </w:pBdr>
        <w:spacing w:before="400" w:after="120"/>
      </w:pPr>
      <w:r>
        <w:rPr>
          <w:rFonts w:ascii="Arial" w:cs="Arial" w:eastAsia="Arial" w:hAnsi="Arial"/>
          <w:b/>
          <w:bCs/>
          <w:color w:val="0D1B2A"/>
          <w:sz w:val="32"/>
          <w:szCs w:val="32"/>
        </w:rPr>
        <w:t xml:space="preserve">Section 10 Summary — Candidate Profile &amp; Portfolio Review</w:t>
      </w:r>
    </w:p>
    <w:p>
      <w:pPr>
        <w:spacing w:before="120" w:after="80" w:line="280"/>
        <w:jc w:val="left"/>
      </w:pPr>
      <w:r>
        <w:rPr>
          <w:rFonts w:ascii="Arial" w:cs="Arial" w:eastAsia="Arial" w:hAnsi="Arial"/>
          <w:b w:val="false"/>
          <w:bCs w:val="false"/>
          <w:i w:val="false"/>
          <w:iCs w:val="false"/>
          <w:color w:val="1A1A1A"/>
          <w:sz w:val="22"/>
          <w:szCs w:val="22"/>
        </w:rPr>
        <w:t xml:space="preserve">Section 10 is the answer to the most important question in technical hiring: 'How do I know this candidate can actually do the job?' The answer is not a CV — it is a verified, multi-dimensional evidence portfolio that shows not just what the candidate claims, but what they have proven, what they have built, what others have said about their work, and how consistently they have been developing over time.</w:t>
      </w:r>
    </w:p>
    <w:p>
      <w:pPr>
        <w:spacing w:before="45" w:after="45" w:line="280"/>
        <w:jc w:val="left"/>
      </w:pPr>
      <w:r>
        <w:rPr>
          <w:rFonts w:ascii="Arial" w:cs="Arial" w:eastAsia="Arial" w:hAnsi="Arial"/>
          <w:b w:val="false"/>
          <w:bCs w:val="false"/>
          <w:i w:val="false"/>
          <w:iCs w:val="false"/>
          <w:color w:val="1A1A1A"/>
          <w:sz w:val="21"/>
          <w:szCs w:val="21"/>
        </w:rPr>
        <w:t xml:space="preserve">→  10.1–10.2  Skills Layer — what they know, at what depth, verified by whom</w:t>
      </w:r>
    </w:p>
    <w:p>
      <w:pPr>
        <w:spacing w:before="45" w:after="45" w:line="280"/>
        <w:jc w:val="left"/>
      </w:pPr>
      <w:r>
        <w:rPr>
          <w:rFonts w:ascii="Arial" w:cs="Arial" w:eastAsia="Arial" w:hAnsi="Arial"/>
          <w:b w:val="false"/>
          <w:bCs w:val="false"/>
          <w:i w:val="false"/>
          <w:iCs w:val="false"/>
          <w:color w:val="1A1A1A"/>
          <w:sz w:val="21"/>
          <w:szCs w:val="21"/>
        </w:rPr>
        <w:t xml:space="preserve">→  10.3–10.5  Portfolio Layer — what they have built, with client ratings and live demos</w:t>
      </w:r>
    </w:p>
    <w:p>
      <w:pPr>
        <w:spacing w:before="45" w:after="45" w:line="280"/>
        <w:jc w:val="left"/>
      </w:pPr>
      <w:r>
        <w:rPr>
          <w:rFonts w:ascii="Arial" w:cs="Arial" w:eastAsia="Arial" w:hAnsi="Arial"/>
          <w:b w:val="false"/>
          <w:bCs w:val="false"/>
          <w:i w:val="false"/>
          <w:iCs w:val="false"/>
          <w:color w:val="1A1A1A"/>
          <w:sz w:val="21"/>
          <w:szCs w:val="21"/>
        </w:rPr>
        <w:t xml:space="preserve">→  10.6–10.8  Credential Layer — certifications verified, competitions ranked, hackathons documented</w:t>
      </w:r>
    </w:p>
    <w:p>
      <w:pPr>
        <w:spacing w:before="45" w:after="45" w:line="280"/>
        <w:jc w:val="left"/>
      </w:pPr>
      <w:r>
        <w:rPr>
          <w:rFonts w:ascii="Arial" w:cs="Arial" w:eastAsia="Arial" w:hAnsi="Arial"/>
          <w:b w:val="false"/>
          <w:bCs w:val="false"/>
          <w:i w:val="false"/>
          <w:iCs w:val="false"/>
          <w:color w:val="1A1A1A"/>
          <w:sz w:val="21"/>
          <w:szCs w:val="21"/>
        </w:rPr>
        <w:t xml:space="preserve">→  10.9       Experience Layer — internships with employer confirmation and supervisor endorsement</w:t>
      </w:r>
    </w:p>
    <w:p>
      <w:pPr>
        <w:spacing w:before="45" w:after="45" w:line="280"/>
        <w:jc w:val="left"/>
      </w:pPr>
      <w:r>
        <w:rPr>
          <w:rFonts w:ascii="Arial" w:cs="Arial" w:eastAsia="Arial" w:hAnsi="Arial"/>
          <w:b w:val="false"/>
          <w:bCs w:val="false"/>
          <w:i w:val="false"/>
          <w:iCs w:val="false"/>
          <w:color w:val="1A1A1A"/>
          <w:sz w:val="21"/>
          <w:szCs w:val="21"/>
        </w:rPr>
        <w:t xml:space="preserve">→  10.10–10.11 Development Layer — 8-month learning history, velocity vs peer cohort</w:t>
      </w:r>
    </w:p>
    <w:p>
      <w:pPr>
        <w:spacing w:before="45" w:after="45" w:line="280"/>
        <w:jc w:val="left"/>
      </w:pPr>
      <w:r>
        <w:rPr>
          <w:rFonts w:ascii="Arial" w:cs="Arial" w:eastAsia="Arial" w:hAnsi="Arial"/>
          <w:b w:val="false"/>
          <w:bCs w:val="false"/>
          <w:i w:val="false"/>
          <w:iCs w:val="false"/>
          <w:color w:val="1A1A1A"/>
          <w:sz w:val="21"/>
          <w:szCs w:val="21"/>
        </w:rPr>
        <w:t xml:space="preserve">→  10.12      Synthesis — all 12 features synthesised into a single Career Readiness Index</w:t>
      </w:r>
    </w:p>
    <w:p>
      <w:pPr>
        <w:spacing w:before="120" w:after="120" w:line="280"/>
        <w:jc w:val="left"/>
      </w:pPr>
      <w:r>
        <w:rPr>
          <w:rFonts w:ascii="Arial" w:cs="Arial" w:eastAsia="Arial" w:hAnsi="Arial"/>
          <w:b/>
          <w:bCs/>
          <w:i w:val="false"/>
          <w:iCs w:val="false"/>
          <w:color w:val="1A1A1A"/>
          <w:sz w:val="22"/>
          <w:szCs w:val="22"/>
        </w:rPr>
        <w:t xml:space="preserve">A recruiter who reviews a complete Section 10 profile is not evaluating a candidate — they are evaluating a track record. That is the difference EcoSkiller is designed to make.</w:t>
      </w:r>
    </w:p>
    <w:p>
      <w:pPr>
        <w:spacing w:before="300" w:after="60"/>
      </w:pPr>
      <w:r>
        <w:rPr>
          <w:rFonts w:ascii="Arial" w:cs="Arial" w:eastAsia="Arial" w:hAnsi="Arial"/>
          <w:i/>
          <w:iCs/>
          <w:color w:val="555555"/>
          <w:sz w:val="18"/>
          <w:szCs w:val="18"/>
        </w:rPr>
        <w:t xml:space="preserve">EcoSkiller Recruiter Module — Section 10: Candidate Profile &amp; Portfolio Review  |  v1.0  |  March 2026  |  Confidential</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1B2A" w:sz="4" w:space="4"/>
      </w:pBdr>
      <w:spacing w:before="80"/>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r>
      <w:rPr>
        <w:rFonts w:ascii="Arial" w:cs="Arial" w:eastAsia="Arial" w:hAnsi="Arial"/>
        <w:color w:val="555555"/>
        <w:sz w:val="18"/>
        <w:szCs w:val="18"/>
      </w:rPr>
      <w:t xml:space="preserve">  |  Confidential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1B2A" w:sz="4" w:space="4"/>
      </w:pBdr>
      <w:spacing w:after="80"/>
      <w:jc w:val="right"/>
    </w:pPr>
    <w:r>
      <w:rPr>
        <w:rFonts w:ascii="Arial" w:cs="Arial" w:eastAsia="Arial" w:hAnsi="Arial"/>
        <w:color w:val="555555"/>
        <w:sz w:val="18"/>
        <w:szCs w:val="18"/>
      </w:rPr>
      <w:t xml:space="preserve">EcoSkiller  |  Recruiter Module  |  Section 10: Candidate Profile &amp; Portfolio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2026-03-09T13:58:58.774Z</dcterms:created>
  <dcterms:modified xsi:type="dcterms:W3CDTF">2026-03-09T13:58:58.775Z</dcterms:modified>
</cp:coreProperties>
</file>

<file path=docProps/custom.xml><?xml version="1.0" encoding="utf-8"?>
<Properties xmlns="http://schemas.openxmlformats.org/officeDocument/2006/custom-properties" xmlns:vt="http://schemas.openxmlformats.org/officeDocument/2006/docPropsVTypes"/>
</file>