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120"/>
        <w:jc w:val="center"/>
      </w:pPr>
      <w:r>
        <w:rPr>
          <w:rFonts w:ascii="Arial" w:cs="Arial" w:eastAsia="Arial" w:hAnsi="Arial"/>
          <w:b/>
          <w:bCs/>
          <w:color w:val="2E5FA3"/>
          <w:sz w:val="48"/>
          <w:szCs w:val="48"/>
        </w:rPr>
        <w:t xml:space="preserve">SECTION K</w:t>
      </w:r>
    </w:p>
    <w:p>
      <w:pPr>
        <w:spacing w:before="0" w:after="240"/>
        <w:jc w:val="center"/>
      </w:pPr>
      <w:r>
        <w:rPr>
          <w:rFonts w:ascii="Arial" w:cs="Arial" w:eastAsia="Arial" w:hAnsi="Arial"/>
          <w:b/>
          <w:bCs/>
          <w:color w:val="1B3A6B"/>
          <w:sz w:val="56"/>
          <w:szCs w:val="56"/>
        </w:rPr>
        <w:t xml:space="preserve">Career &amp; Placement Preparation</w:t>
      </w:r>
    </w:p>
    <w:p>
      <w:pPr>
        <w:pBdr>
          <w:bottom w:val="single" w:color="2E5FA3" w:sz="6" w:space="4"/>
        </w:pBdr>
        <w:spacing w:before="0" w:after="120"/>
        <w:jc w:val="center"/>
      </w:pPr>
      <w:r>
        <w:rPr>
          <w:rFonts w:ascii="Arial" w:cs="Arial" w:eastAsia="Arial" w:hAnsi="Arial"/>
          <w:color w:val="555555"/>
          <w:sz w:val="26"/>
          <w:szCs w:val="26"/>
        </w:rPr>
        <w:t xml:space="preserve">Feature Specification &amp; Design Document</w:t>
      </w:r>
    </w:p>
    <w:p>
      <w:pPr>
        <w:spacing w:before="200" w:after="0"/>
      </w:pPr>
      <w:r>
        <w:t xml:space="preserve"/>
      </w:r>
    </w:p>
    <w:p>
      <w:pPr>
        <w:spacing w:before="0" w:after="80"/>
        <w:jc w:val="center"/>
      </w:pPr>
      <w:r>
        <w:rPr>
          <w:rFonts w:ascii="Arial" w:cs="Arial" w:eastAsia="Arial" w:hAnsi="Arial"/>
          <w:color w:val="666666"/>
          <w:sz w:val="22"/>
          <w:szCs w:val="22"/>
        </w:rPr>
        <w:t xml:space="preserve">Platform: Job Portal &amp; Assessment System</w:t>
      </w:r>
    </w:p>
    <w:p>
      <w:pPr>
        <w:spacing w:before="0" w:after="80"/>
        <w:jc w:val="center"/>
      </w:pPr>
      <w:r>
        <w:rPr>
          <w:rFonts w:ascii="Arial" w:cs="Arial" w:eastAsia="Arial" w:hAnsi="Arial"/>
          <w:color w:val="666666"/>
          <w:sz w:val="22"/>
          <w:szCs w:val="22"/>
        </w:rPr>
        <w:t xml:space="preserve">Document Type: In-Depth Feature Description</w:t>
      </w:r>
    </w:p>
    <w:p>
      <w:pPr>
        <w:spacing w:before="0" w:after="80"/>
        <w:jc w:val="center"/>
      </w:pPr>
      <w:r>
        <w:rPr>
          <w:rFonts w:ascii="Arial" w:cs="Arial" w:eastAsia="Arial" w:hAnsi="Arial"/>
          <w:color w:val="666666"/>
          <w:sz w:val="22"/>
          <w:szCs w:val="22"/>
        </w:rPr>
        <w:t xml:space="preserve">Version: 1.0  |  Confidential</w:t>
      </w:r>
    </w:p>
    <w:p>
      <w:pPr>
        <w:spacing w:before="400" w:after="0"/>
      </w:pPr>
      <w:r>
        <w:t xml:space="preserve"/>
      </w:r>
    </w:p>
    <w:p>
      <w:pPr>
        <w:spacing w:before="0" w:after="200"/>
        <w:jc w:val="center"/>
      </w:pPr>
      <w:r>
        <w:rPr>
          <w:rFonts w:ascii="Arial" w:cs="Arial" w:eastAsia="Arial" w:hAnsi="Arial"/>
          <w:b/>
          <w:bCs/>
          <w:color w:val="1B3A6B"/>
          <w:sz w:val="26"/>
          <w:szCs w:val="26"/>
        </w:rPr>
        <w:t xml:space="preserve">Features Covered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w:t>
            </w:r>
          </w:p>
        </w:tc>
        <w:tc>
          <w:tcPr>
            <w:tcW w:type="dxa" w:w="546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20"/>
            </w:tcMar>
          </w:tcPr>
          <w:p>
            <w:r>
              <w:rPr>
                <w:rFonts w:ascii="Arial" w:cs="Arial" w:eastAsia="Arial" w:hAnsi="Arial"/>
                <w:b/>
                <w:bCs/>
                <w:color w:val="FFFFFF"/>
                <w:sz w:val="22"/>
                <w:szCs w:val="22"/>
              </w:rPr>
              <w:t xml:space="preserve">Feature Name</w:t>
            </w:r>
          </w:p>
        </w:tc>
        <w:tc>
          <w:tcPr>
            <w:tcW w:type="dxa" w:w="30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20"/>
            </w:tcMar>
          </w:tcPr>
          <w:p>
            <w:r>
              <w:rPr>
                <w:rFonts w:ascii="Arial" w:cs="Arial" w:eastAsia="Arial" w:hAnsi="Arial"/>
                <w:b/>
                <w:bCs/>
                <w:color w:val="FFFFFF"/>
                <w:sz w:val="22"/>
                <w:szCs w:val="22"/>
              </w:rPr>
              <w:t xml:space="preserve">Primary Beneficiary</w:t>
            </w:r>
          </w:p>
        </w:tc>
      </w:tr>
      <w:tr>
        <w:tc>
          <w:tcPr>
            <w:tcW w:type="dxa" w:w="900"/>
            <w:tcBorders>
              <w:top w:val="single" w:color="CCCCCC" w:sz="1"/>
              <w:left w:val="single" w:color="CCCCCC" w:sz="1"/>
              <w:bottom w:val="single" w:color="CCCCCC" w:sz="1"/>
              <w:right w:val="single" w:color="CCCCCC" w:sz="1"/>
            </w:tcBorders>
            <w:shd w:fill="EBF1F9" w:val="clear"/>
            <w:tcMar>
              <w:top w:type="dxa" w:w="100"/>
              <w:left w:type="dxa" w:w="160"/>
              <w:bottom w:type="dxa" w:w="100"/>
              <w:right w:type="dxa" w:w="120"/>
            </w:tcMar>
            <w:vAlign w:val="center"/>
          </w:tcPr>
          <w:p>
            <w:pPr>
              <w:jc w:val="center"/>
            </w:pPr>
            <w:r>
              <w:rPr>
                <w:rFonts w:ascii="Arial" w:cs="Arial" w:eastAsia="Arial" w:hAnsi="Arial"/>
                <w:b/>
                <w:bCs/>
                <w:color w:val="2E5FA3"/>
                <w:sz w:val="21"/>
                <w:szCs w:val="21"/>
              </w:rPr>
              <w:t xml:space="preserve">K.1</w:t>
            </w:r>
          </w:p>
        </w:tc>
        <w:tc>
          <w:tcPr>
            <w:tcW w:type="dxa" w:w="5460"/>
            <w:tcBorders>
              <w:top w:val="single" w:color="CCCCCC" w:sz="1"/>
              <w:left w:val="single" w:color="CCCCCC" w:sz="1"/>
              <w:bottom w:val="single" w:color="CCCCCC" w:sz="1"/>
              <w:right w:val="single" w:color="CCCCCC" w:sz="1"/>
            </w:tcBorders>
            <w:shd w:fill="EBF1F9" w:val="clear"/>
            <w:tcMar>
              <w:top w:type="dxa" w:w="100"/>
              <w:left w:type="dxa" w:w="160"/>
              <w:bottom w:type="dxa" w:w="100"/>
              <w:right w:type="dxa" w:w="120"/>
            </w:tcMar>
          </w:tcPr>
          <w:p>
            <w:r>
              <w:rPr>
                <w:rFonts w:ascii="Arial" w:cs="Arial" w:eastAsia="Arial" w:hAnsi="Arial"/>
                <w:sz w:val="21"/>
                <w:szCs w:val="21"/>
              </w:rPr>
              <w:t xml:space="preserve">Internship Preparation Tracking</w:t>
            </w:r>
          </w:p>
        </w:tc>
        <w:tc>
          <w:tcPr>
            <w:tcW w:type="dxa" w:w="3000"/>
            <w:tcBorders>
              <w:top w:val="single" w:color="CCCCCC" w:sz="1"/>
              <w:left w:val="single" w:color="CCCCCC" w:sz="1"/>
              <w:bottom w:val="single" w:color="CCCCCC" w:sz="1"/>
              <w:right w:val="single" w:color="CCCCCC" w:sz="1"/>
            </w:tcBorders>
            <w:shd w:fill="EBF1F9" w:val="clear"/>
            <w:tcMar>
              <w:top w:type="dxa" w:w="100"/>
              <w:left w:type="dxa" w:w="160"/>
              <w:bottom w:type="dxa" w:w="100"/>
              <w:right w:type="dxa" w:w="120"/>
            </w:tcMar>
          </w:tcPr>
          <w:p>
            <w:r>
              <w:rPr>
                <w:rFonts w:ascii="Arial" w:cs="Arial" w:eastAsia="Arial" w:hAnsi="Arial"/>
                <w:color w:val="444444"/>
                <w:sz w:val="21"/>
                <w:szCs w:val="21"/>
              </w:rPr>
              <w:t xml:space="preserve">Students / Candidates</w:t>
            </w:r>
          </w:p>
        </w:tc>
      </w:tr>
      <w:tr>
        <w:tc>
          <w:tcPr>
            <w:tcW w:type="dxa" w:w="900"/>
            <w:tcBorders>
              <w:top w:val="single" w:color="CCCCCC" w:sz="1"/>
              <w:left w:val="single" w:color="CCCCCC" w:sz="1"/>
              <w:bottom w:val="single" w:color="CCCCCC" w:sz="1"/>
              <w:right w:val="single" w:color="CCCCCC" w:sz="1"/>
            </w:tcBorders>
            <w:shd w:fill="F5F8FD" w:val="clear"/>
            <w:tcMar>
              <w:top w:type="dxa" w:w="100"/>
              <w:left w:type="dxa" w:w="160"/>
              <w:bottom w:type="dxa" w:w="100"/>
              <w:right w:type="dxa" w:w="120"/>
            </w:tcMar>
            <w:vAlign w:val="center"/>
          </w:tcPr>
          <w:p>
            <w:pPr>
              <w:jc w:val="center"/>
            </w:pPr>
            <w:r>
              <w:rPr>
                <w:rFonts w:ascii="Arial" w:cs="Arial" w:eastAsia="Arial" w:hAnsi="Arial"/>
                <w:b/>
                <w:bCs/>
                <w:color w:val="2E5FA3"/>
                <w:sz w:val="21"/>
                <w:szCs w:val="21"/>
              </w:rPr>
              <w:t xml:space="preserve">K.2</w:t>
            </w:r>
          </w:p>
        </w:tc>
        <w:tc>
          <w:tcPr>
            <w:tcW w:type="dxa" w:w="5460"/>
            <w:tcBorders>
              <w:top w:val="single" w:color="CCCCCC" w:sz="1"/>
              <w:left w:val="single" w:color="CCCCCC" w:sz="1"/>
              <w:bottom w:val="single" w:color="CCCCCC" w:sz="1"/>
              <w:right w:val="single" w:color="CCCCCC" w:sz="1"/>
            </w:tcBorders>
            <w:shd w:fill="F5F8FD" w:val="clear"/>
            <w:tcMar>
              <w:top w:type="dxa" w:w="100"/>
              <w:left w:type="dxa" w:w="160"/>
              <w:bottom w:type="dxa" w:w="100"/>
              <w:right w:type="dxa" w:w="120"/>
            </w:tcMar>
          </w:tcPr>
          <w:p>
            <w:r>
              <w:rPr>
                <w:rFonts w:ascii="Arial" w:cs="Arial" w:eastAsia="Arial" w:hAnsi="Arial"/>
                <w:sz w:val="21"/>
                <w:szCs w:val="21"/>
              </w:rPr>
              <w:t xml:space="preserve">Resume Preparation Monitoring</w:t>
            </w:r>
          </w:p>
        </w:tc>
        <w:tc>
          <w:tcPr>
            <w:tcW w:type="dxa" w:w="3000"/>
            <w:tcBorders>
              <w:top w:val="single" w:color="CCCCCC" w:sz="1"/>
              <w:left w:val="single" w:color="CCCCCC" w:sz="1"/>
              <w:bottom w:val="single" w:color="CCCCCC" w:sz="1"/>
              <w:right w:val="single" w:color="CCCCCC" w:sz="1"/>
            </w:tcBorders>
            <w:shd w:fill="F5F8FD" w:val="clear"/>
            <w:tcMar>
              <w:top w:type="dxa" w:w="100"/>
              <w:left w:type="dxa" w:w="160"/>
              <w:bottom w:type="dxa" w:w="100"/>
              <w:right w:type="dxa" w:w="120"/>
            </w:tcMar>
          </w:tcPr>
          <w:p>
            <w:r>
              <w:rPr>
                <w:rFonts w:ascii="Arial" w:cs="Arial" w:eastAsia="Arial" w:hAnsi="Arial"/>
                <w:color w:val="444444"/>
                <w:sz w:val="21"/>
                <w:szCs w:val="21"/>
              </w:rPr>
              <w:t xml:space="preserve">Students / Career Counselors</w:t>
            </w:r>
          </w:p>
        </w:tc>
      </w:tr>
      <w:tr>
        <w:tc>
          <w:tcPr>
            <w:tcW w:type="dxa" w:w="900"/>
            <w:tcBorders>
              <w:top w:val="single" w:color="CCCCCC" w:sz="1"/>
              <w:left w:val="single" w:color="CCCCCC" w:sz="1"/>
              <w:bottom w:val="single" w:color="CCCCCC" w:sz="1"/>
              <w:right w:val="single" w:color="CCCCCC" w:sz="1"/>
            </w:tcBorders>
            <w:shd w:fill="EBF1F9" w:val="clear"/>
            <w:tcMar>
              <w:top w:type="dxa" w:w="100"/>
              <w:left w:type="dxa" w:w="160"/>
              <w:bottom w:type="dxa" w:w="100"/>
              <w:right w:type="dxa" w:w="120"/>
            </w:tcMar>
            <w:vAlign w:val="center"/>
          </w:tcPr>
          <w:p>
            <w:pPr>
              <w:jc w:val="center"/>
            </w:pPr>
            <w:r>
              <w:rPr>
                <w:rFonts w:ascii="Arial" w:cs="Arial" w:eastAsia="Arial" w:hAnsi="Arial"/>
                <w:b/>
                <w:bCs/>
                <w:color w:val="2E5FA3"/>
                <w:sz w:val="21"/>
                <w:szCs w:val="21"/>
              </w:rPr>
              <w:t xml:space="preserve">K.3</w:t>
            </w:r>
          </w:p>
        </w:tc>
        <w:tc>
          <w:tcPr>
            <w:tcW w:type="dxa" w:w="5460"/>
            <w:tcBorders>
              <w:top w:val="single" w:color="CCCCCC" w:sz="1"/>
              <w:left w:val="single" w:color="CCCCCC" w:sz="1"/>
              <w:bottom w:val="single" w:color="CCCCCC" w:sz="1"/>
              <w:right w:val="single" w:color="CCCCCC" w:sz="1"/>
            </w:tcBorders>
            <w:shd w:fill="EBF1F9" w:val="clear"/>
            <w:tcMar>
              <w:top w:type="dxa" w:w="100"/>
              <w:left w:type="dxa" w:w="160"/>
              <w:bottom w:type="dxa" w:w="100"/>
              <w:right w:type="dxa" w:w="120"/>
            </w:tcMar>
          </w:tcPr>
          <w:p>
            <w:r>
              <w:rPr>
                <w:rFonts w:ascii="Arial" w:cs="Arial" w:eastAsia="Arial" w:hAnsi="Arial"/>
                <w:sz w:val="21"/>
                <w:szCs w:val="21"/>
              </w:rPr>
              <w:t xml:space="preserve">Interview Readiness Tracking</w:t>
            </w:r>
          </w:p>
        </w:tc>
        <w:tc>
          <w:tcPr>
            <w:tcW w:type="dxa" w:w="3000"/>
            <w:tcBorders>
              <w:top w:val="single" w:color="CCCCCC" w:sz="1"/>
              <w:left w:val="single" w:color="CCCCCC" w:sz="1"/>
              <w:bottom w:val="single" w:color="CCCCCC" w:sz="1"/>
              <w:right w:val="single" w:color="CCCCCC" w:sz="1"/>
            </w:tcBorders>
            <w:shd w:fill="EBF1F9" w:val="clear"/>
            <w:tcMar>
              <w:top w:type="dxa" w:w="100"/>
              <w:left w:type="dxa" w:w="160"/>
              <w:bottom w:type="dxa" w:w="100"/>
              <w:right w:type="dxa" w:w="120"/>
            </w:tcMar>
          </w:tcPr>
          <w:p>
            <w:r>
              <w:rPr>
                <w:rFonts w:ascii="Arial" w:cs="Arial" w:eastAsia="Arial" w:hAnsi="Arial"/>
                <w:color w:val="444444"/>
                <w:sz w:val="21"/>
                <w:szCs w:val="21"/>
              </w:rPr>
              <w:t xml:space="preserve">Students / Recruiters</w:t>
            </w:r>
          </w:p>
        </w:tc>
      </w:tr>
      <w:tr>
        <w:tc>
          <w:tcPr>
            <w:tcW w:type="dxa" w:w="900"/>
            <w:tcBorders>
              <w:top w:val="single" w:color="CCCCCC" w:sz="1"/>
              <w:left w:val="single" w:color="CCCCCC" w:sz="1"/>
              <w:bottom w:val="single" w:color="CCCCCC" w:sz="1"/>
              <w:right w:val="single" w:color="CCCCCC" w:sz="1"/>
            </w:tcBorders>
            <w:shd w:fill="F5F8FD" w:val="clear"/>
            <w:tcMar>
              <w:top w:type="dxa" w:w="100"/>
              <w:left w:type="dxa" w:w="160"/>
              <w:bottom w:type="dxa" w:w="100"/>
              <w:right w:type="dxa" w:w="120"/>
            </w:tcMar>
            <w:vAlign w:val="center"/>
          </w:tcPr>
          <w:p>
            <w:pPr>
              <w:jc w:val="center"/>
            </w:pPr>
            <w:r>
              <w:rPr>
                <w:rFonts w:ascii="Arial" w:cs="Arial" w:eastAsia="Arial" w:hAnsi="Arial"/>
                <w:b/>
                <w:bCs/>
                <w:color w:val="2E5FA3"/>
                <w:sz w:val="21"/>
                <w:szCs w:val="21"/>
              </w:rPr>
              <w:t xml:space="preserve">K.4</w:t>
            </w:r>
          </w:p>
        </w:tc>
        <w:tc>
          <w:tcPr>
            <w:tcW w:type="dxa" w:w="5460"/>
            <w:tcBorders>
              <w:top w:val="single" w:color="CCCCCC" w:sz="1"/>
              <w:left w:val="single" w:color="CCCCCC" w:sz="1"/>
              <w:bottom w:val="single" w:color="CCCCCC" w:sz="1"/>
              <w:right w:val="single" w:color="CCCCCC" w:sz="1"/>
            </w:tcBorders>
            <w:shd w:fill="F5F8FD" w:val="clear"/>
            <w:tcMar>
              <w:top w:type="dxa" w:w="100"/>
              <w:left w:type="dxa" w:w="160"/>
              <w:bottom w:type="dxa" w:w="100"/>
              <w:right w:type="dxa" w:w="120"/>
            </w:tcMar>
          </w:tcPr>
          <w:p>
            <w:r>
              <w:rPr>
                <w:rFonts w:ascii="Arial" w:cs="Arial" w:eastAsia="Arial" w:hAnsi="Arial"/>
                <w:sz w:val="21"/>
                <w:szCs w:val="21"/>
              </w:rPr>
              <w:t xml:space="preserve">Career Recommendation Reports</w:t>
            </w:r>
          </w:p>
        </w:tc>
        <w:tc>
          <w:tcPr>
            <w:tcW w:type="dxa" w:w="3000"/>
            <w:tcBorders>
              <w:top w:val="single" w:color="CCCCCC" w:sz="1"/>
              <w:left w:val="single" w:color="CCCCCC" w:sz="1"/>
              <w:bottom w:val="single" w:color="CCCCCC" w:sz="1"/>
              <w:right w:val="single" w:color="CCCCCC" w:sz="1"/>
            </w:tcBorders>
            <w:shd w:fill="F5F8FD" w:val="clear"/>
            <w:tcMar>
              <w:top w:type="dxa" w:w="100"/>
              <w:left w:type="dxa" w:w="160"/>
              <w:bottom w:type="dxa" w:w="100"/>
              <w:right w:type="dxa" w:w="120"/>
            </w:tcMar>
          </w:tcPr>
          <w:p>
            <w:r>
              <w:rPr>
                <w:rFonts w:ascii="Arial" w:cs="Arial" w:eastAsia="Arial" w:hAnsi="Arial"/>
                <w:color w:val="444444"/>
                <w:sz w:val="21"/>
                <w:szCs w:val="21"/>
              </w:rPr>
              <w:t xml:space="preserve">Students / Advisors</w:t>
            </w:r>
          </w:p>
        </w:tc>
      </w:tr>
      <w:tr>
        <w:tc>
          <w:tcPr>
            <w:tcW w:type="dxa" w:w="900"/>
            <w:tcBorders>
              <w:top w:val="single" w:color="CCCCCC" w:sz="1"/>
              <w:left w:val="single" w:color="CCCCCC" w:sz="1"/>
              <w:bottom w:val="single" w:color="CCCCCC" w:sz="1"/>
              <w:right w:val="single" w:color="CCCCCC" w:sz="1"/>
            </w:tcBorders>
            <w:shd w:fill="EBF1F9" w:val="clear"/>
            <w:tcMar>
              <w:top w:type="dxa" w:w="100"/>
              <w:left w:type="dxa" w:w="160"/>
              <w:bottom w:type="dxa" w:w="100"/>
              <w:right w:type="dxa" w:w="120"/>
            </w:tcMar>
            <w:vAlign w:val="center"/>
          </w:tcPr>
          <w:p>
            <w:pPr>
              <w:jc w:val="center"/>
            </w:pPr>
            <w:r>
              <w:rPr>
                <w:rFonts w:ascii="Arial" w:cs="Arial" w:eastAsia="Arial" w:hAnsi="Arial"/>
                <w:b/>
                <w:bCs/>
                <w:color w:val="2E5FA3"/>
                <w:sz w:val="21"/>
                <w:szCs w:val="21"/>
              </w:rPr>
              <w:t xml:space="preserve">K.5</w:t>
            </w:r>
          </w:p>
        </w:tc>
        <w:tc>
          <w:tcPr>
            <w:tcW w:type="dxa" w:w="5460"/>
            <w:tcBorders>
              <w:top w:val="single" w:color="CCCCCC" w:sz="1"/>
              <w:left w:val="single" w:color="CCCCCC" w:sz="1"/>
              <w:bottom w:val="single" w:color="CCCCCC" w:sz="1"/>
              <w:right w:val="single" w:color="CCCCCC" w:sz="1"/>
            </w:tcBorders>
            <w:shd w:fill="EBF1F9" w:val="clear"/>
            <w:tcMar>
              <w:top w:type="dxa" w:w="100"/>
              <w:left w:type="dxa" w:w="160"/>
              <w:bottom w:type="dxa" w:w="100"/>
              <w:right w:type="dxa" w:w="120"/>
            </w:tcMar>
          </w:tcPr>
          <w:p>
            <w:r>
              <w:rPr>
                <w:rFonts w:ascii="Arial" w:cs="Arial" w:eastAsia="Arial" w:hAnsi="Arial"/>
                <w:sz w:val="21"/>
                <w:szCs w:val="21"/>
              </w:rPr>
              <w:t xml:space="preserve">Employer Readiness Analytics</w:t>
            </w:r>
          </w:p>
        </w:tc>
        <w:tc>
          <w:tcPr>
            <w:tcW w:type="dxa" w:w="3000"/>
            <w:tcBorders>
              <w:top w:val="single" w:color="CCCCCC" w:sz="1"/>
              <w:left w:val="single" w:color="CCCCCC" w:sz="1"/>
              <w:bottom w:val="single" w:color="CCCCCC" w:sz="1"/>
              <w:right w:val="single" w:color="CCCCCC" w:sz="1"/>
            </w:tcBorders>
            <w:shd w:fill="EBF1F9" w:val="clear"/>
            <w:tcMar>
              <w:top w:type="dxa" w:w="100"/>
              <w:left w:type="dxa" w:w="160"/>
              <w:bottom w:type="dxa" w:w="100"/>
              <w:right w:type="dxa" w:w="120"/>
            </w:tcMar>
          </w:tcPr>
          <w:p>
            <w:r>
              <w:rPr>
                <w:rFonts w:ascii="Arial" w:cs="Arial" w:eastAsia="Arial" w:hAnsi="Arial"/>
                <w:color w:val="444444"/>
                <w:sz w:val="21"/>
                <w:szCs w:val="21"/>
              </w:rPr>
              <w:t xml:space="preserve">Institutions / Employers</w:t>
            </w:r>
          </w:p>
        </w:tc>
      </w:tr>
    </w:tbl>
    <w:p>
      <w:r>
        <w:br w:type="page"/>
      </w:r>
    </w:p>
    <w:p>
      <w:pPr>
        <w:pBdr>
          <w:bottom w:val="single" w:color="2E5FA3" w:sz="8" w:space="1"/>
        </w:pBdr>
        <w:spacing w:before="300" w:after="200"/>
      </w:pPr>
      <w:r>
        <w:rPr>
          <w:rFonts w:ascii="Arial" w:cs="Arial" w:eastAsia="Arial" w:hAnsi="Arial"/>
          <w:b/>
          <w:bCs/>
          <w:color w:val="1B3A6B"/>
          <w:sz w:val="32"/>
          <w:szCs w:val="32"/>
        </w:rPr>
        <w:t xml:space="preserve">Section Overview</w:t>
      </w:r>
    </w:p>
    <w:p>
      <w:pPr>
        <w:spacing w:before="120" w:after="0"/>
      </w:pPr>
      <w:r>
        <w:t xml:space="preserve"/>
      </w:r>
    </w:p>
    <w:p>
      <w:pPr>
        <w:spacing w:before="80" w:after="80"/>
        <w:jc w:val="both"/>
      </w:pPr>
      <w:r>
        <w:rPr>
          <w:rFonts w:ascii="Arial" w:cs="Arial" w:eastAsia="Arial" w:hAnsi="Arial"/>
          <w:sz w:val="22"/>
          <w:szCs w:val="22"/>
        </w:rPr>
        <w:t xml:space="preserve">Section K — Career &amp; Placement Preparation — is the culminating module of the job portal and assessment platform. It bridges the gap between academic learning and professional employment by providing a structured, data-driven environment where students, candidates, and institutions can monitor, improve, and demonstrate career readiness.</w:t>
      </w:r>
    </w:p>
    <w:p>
      <w:pPr>
        <w:spacing w:before="80" w:after="0"/>
      </w:pPr>
      <w:r>
        <w:t xml:space="preserve"/>
      </w:r>
    </w:p>
    <w:p>
      <w:pPr>
        <w:spacing w:before="80" w:after="80"/>
        <w:jc w:val="both"/>
      </w:pPr>
      <w:r>
        <w:rPr>
          <w:rFonts w:ascii="Arial" w:cs="Arial" w:eastAsia="Arial" w:hAnsi="Arial"/>
          <w:sz w:val="22"/>
          <w:szCs w:val="22"/>
        </w:rPr>
        <w:t xml:space="preserve">This section encompasses five tightly integrated features that together create a comprehensive career preparation ecosystem. Each feature is designed with the following guiding principles:</w:t>
      </w:r>
    </w:p>
    <w:p>
      <w:pPr>
        <w:spacing w:before="80" w:after="0"/>
      </w:pPr>
      <w:r>
        <w:t xml:space="preserve"/>
      </w:r>
    </w:p>
    <w:p>
      <w:pPr>
        <w:pStyle w:val="ListParagraph"/>
        <w:numPr>
          <w:ilvl w:val="0"/>
          <w:numId w:val="2"/>
        </w:numPr>
        <w:spacing w:before="60" w:after="60"/>
      </w:pPr>
      <w:r>
        <w:rPr>
          <w:rFonts w:ascii="Arial" w:cs="Arial" w:eastAsia="Arial" w:hAnsi="Arial"/>
          <w:sz w:val="22"/>
          <w:szCs w:val="22"/>
        </w:rPr>
        <w:t xml:space="preserve">Measurability: Every activity and improvement is quantified and trackable over time.</w:t>
      </w:r>
    </w:p>
    <w:p>
      <w:pPr>
        <w:pStyle w:val="ListParagraph"/>
        <w:numPr>
          <w:ilvl w:val="0"/>
          <w:numId w:val="2"/>
        </w:numPr>
        <w:spacing w:before="60" w:after="60"/>
      </w:pPr>
      <w:r>
        <w:rPr>
          <w:rFonts w:ascii="Arial" w:cs="Arial" w:eastAsia="Arial" w:hAnsi="Arial"/>
          <w:sz w:val="22"/>
          <w:szCs w:val="22"/>
        </w:rPr>
        <w:t xml:space="preserve">Actionability: Data is presented with context and recommendations, not just raw numbers.</w:t>
      </w:r>
    </w:p>
    <w:p>
      <w:pPr>
        <w:pStyle w:val="ListParagraph"/>
        <w:numPr>
          <w:ilvl w:val="0"/>
          <w:numId w:val="2"/>
        </w:numPr>
        <w:spacing w:before="60" w:after="60"/>
      </w:pPr>
      <w:r>
        <w:rPr>
          <w:rFonts w:ascii="Arial" w:cs="Arial" w:eastAsia="Arial" w:hAnsi="Arial"/>
          <w:sz w:val="22"/>
          <w:szCs w:val="22"/>
        </w:rPr>
        <w:t xml:space="preserve">Transparency: Students, counselors, and institutions each have clearly scoped visibility into relevant data.</w:t>
      </w:r>
    </w:p>
    <w:p>
      <w:pPr>
        <w:pStyle w:val="ListParagraph"/>
        <w:numPr>
          <w:ilvl w:val="0"/>
          <w:numId w:val="2"/>
        </w:numPr>
        <w:spacing w:before="60" w:after="60"/>
      </w:pPr>
      <w:r>
        <w:rPr>
          <w:rFonts w:ascii="Arial" w:cs="Arial" w:eastAsia="Arial" w:hAnsi="Arial"/>
          <w:sz w:val="22"/>
          <w:szCs w:val="22"/>
        </w:rPr>
        <w:t xml:space="preserve">Integration: Features communicate with each other to produce holistic readiness scores.</w:t>
      </w:r>
    </w:p>
    <w:p>
      <w:pPr>
        <w:pStyle w:val="ListParagraph"/>
        <w:numPr>
          <w:ilvl w:val="0"/>
          <w:numId w:val="2"/>
        </w:numPr>
        <w:spacing w:before="60" w:after="60"/>
      </w:pPr>
      <w:r>
        <w:rPr>
          <w:rFonts w:ascii="Arial" w:cs="Arial" w:eastAsia="Arial" w:hAnsi="Arial"/>
          <w:sz w:val="22"/>
          <w:szCs w:val="22"/>
        </w:rPr>
        <w:t xml:space="preserve">Bias Elimination: Evaluation criteria are rule-based and deterministic, removing subjective human judgment where possible.</w:t>
      </w:r>
    </w:p>
    <w:p>
      <w:pPr>
        <w:spacing w:before="120" w:after="0"/>
      </w:pPr>
      <w:r>
        <w:t xml:space="preserve"/>
      </w:r>
    </w:p>
    <w:p>
      <w:pPr>
        <w:spacing w:before="80" w:after="80"/>
        <w:jc w:val="both"/>
      </w:pPr>
      <w:r>
        <w:rPr>
          <w:rFonts w:ascii="Arial" w:cs="Arial" w:eastAsia="Arial" w:hAnsi="Arial"/>
          <w:sz w:val="22"/>
          <w:szCs w:val="22"/>
        </w:rPr>
        <w:t xml:space="preserve">The five features are described in depth in the sections that follow, including their purpose, functional components, data flows, user personas, scoring logic, and integration points.</w:t>
      </w:r>
    </w:p>
    <w:p>
      <w:r>
        <w:br w:type="page"/>
      </w:r>
    </w:p>
    <w:p>
      <w:pPr>
        <w:pBdr>
          <w:left w:val="single" w:color="2E5FA3" w:sz="24" w:space="12"/>
        </w:pBdr>
        <w:spacing w:before="400" w:after="160"/>
        <w:ind w:left="360"/>
      </w:pPr>
      <w:r>
        <w:rPr>
          <w:rFonts w:ascii="Arial" w:cs="Arial" w:eastAsia="Arial" w:hAnsi="Arial"/>
          <w:b/>
          <w:bCs/>
          <w:color w:val="2E5FA3"/>
          <w:sz w:val="32"/>
          <w:szCs w:val="32"/>
        </w:rPr>
        <w:t xml:space="preserve">Feature K.1: </w:t>
      </w:r>
      <w:r>
        <w:rPr>
          <w:rFonts w:ascii="Arial" w:cs="Arial" w:eastAsia="Arial" w:hAnsi="Arial"/>
          <w:b/>
          <w:bCs/>
          <w:color w:val="1B3A6B"/>
          <w:sz w:val="32"/>
          <w:szCs w:val="32"/>
        </w:rPr>
        <w:t xml:space="preserve">Internship Preparation Tracking</w:t>
      </w:r>
    </w:p>
    <w:p>
      <w:pPr>
        <w:spacing w:before="100" w:after="0"/>
      </w:pPr>
      <w:r>
        <w:t xml:space="preserve"/>
      </w:r>
    </w:p>
    <w:p>
      <w:pPr>
        <w:pStyle w:val="Heading2"/>
        <w:spacing w:before="280" w:after="140"/>
      </w:pPr>
      <w:r>
        <w:rPr>
          <w:rFonts w:ascii="Arial" w:cs="Arial" w:eastAsia="Arial" w:hAnsi="Arial"/>
          <w:b/>
          <w:bCs/>
          <w:color w:val="2E5FA3"/>
          <w:sz w:val="28"/>
          <w:szCs w:val="28"/>
        </w:rPr>
        <w:t xml:space="preserve">1.1  Purpose &amp; Strategic Value</w:t>
      </w:r>
    </w:p>
    <w:p>
      <w:pPr>
        <w:spacing w:before="80" w:after="80"/>
        <w:jc w:val="both"/>
      </w:pPr>
      <w:r>
        <w:rPr>
          <w:rFonts w:ascii="Arial" w:cs="Arial" w:eastAsia="Arial" w:hAnsi="Arial"/>
          <w:sz w:val="22"/>
          <w:szCs w:val="22"/>
        </w:rPr>
        <w:t xml:space="preserve">Internship Preparation Tracking is the foundational career-readiness feature that monitors, structures, and accelerates a student's journey from academic enrollment to industry internship eligibility. The system does not merely remind students to prepare — it actively measures preparation depth across multiple dimensions and generates an Internship Readiness Index (IRI) that is visible to both the student and institutional placement officers.</w:t>
      </w:r>
    </w:p>
    <w:p>
      <w:pPr>
        <w:spacing w:before="80" w:after="0"/>
      </w:pPr>
      <w:r>
        <w:t xml:space="preserve"/>
      </w:r>
    </w:p>
    <w:p>
      <w:pPr>
        <w:spacing w:before="80" w:after="80"/>
        <w:jc w:val="both"/>
      </w:pPr>
      <w:r>
        <w:rPr>
          <w:rFonts w:ascii="Arial" w:cs="Arial" w:eastAsia="Arial" w:hAnsi="Arial"/>
          <w:sz w:val="22"/>
          <w:szCs w:val="22"/>
        </w:rPr>
        <w:t xml:space="preserve">The strategic value of this feature lies in its ability to convert an amorphous, self-directed process into a structured, gamified, and measurable workflow. Students who historically would self-study in isolation are instead guided through a standardized preparation pipeline that mirrors the actual expectations of hiring companies.</w:t>
      </w:r>
    </w:p>
    <w:p>
      <w:pPr>
        <w:spacing w:before="80" w:after="0"/>
      </w:pPr>
      <w:r>
        <w:t xml:space="preserve"/>
      </w:r>
    </w:p>
    <w:p>
      <w:pPr>
        <w:pStyle w:val="Heading2"/>
        <w:spacing w:before="280" w:after="140"/>
      </w:pPr>
      <w:r>
        <w:rPr>
          <w:rFonts w:ascii="Arial" w:cs="Arial" w:eastAsia="Arial" w:hAnsi="Arial"/>
          <w:b/>
          <w:bCs/>
          <w:color w:val="2E5FA3"/>
          <w:sz w:val="28"/>
          <w:szCs w:val="28"/>
        </w:rPr>
        <w:t xml:space="preserve">1.2  Key Functional Components</w:t>
      </w:r>
    </w:p>
    <w:p>
      <w:pPr>
        <w:spacing w:before="60" w:after="0"/>
      </w:pPr>
      <w:r>
        <w:t xml:space="preserve"/>
      </w:r>
    </w:p>
    <w:p>
      <w:pPr>
        <w:spacing w:before="200" w:after="100"/>
      </w:pPr>
      <w:r>
        <w:rPr>
          <w:rFonts w:ascii="Arial" w:cs="Arial" w:eastAsia="Arial" w:hAnsi="Arial"/>
          <w:b/>
          <w:bCs/>
          <w:color w:val="1B3A6B"/>
          <w:sz w:val="24"/>
          <w:szCs w:val="24"/>
        </w:rPr>
        <w:t xml:space="preserve">A. Preparation Domain Framework</w:t>
      </w:r>
    </w:p>
    <w:p>
      <w:pPr>
        <w:spacing w:before="80" w:after="80"/>
        <w:jc w:val="both"/>
      </w:pPr>
      <w:r>
        <w:rPr>
          <w:rFonts w:ascii="Arial" w:cs="Arial" w:eastAsia="Arial" w:hAnsi="Arial"/>
          <w:sz w:val="22"/>
          <w:szCs w:val="22"/>
        </w:rPr>
        <w:t xml:space="preserve">The system decomposes internship preparation into six measurable domains. Each domain is independently scored and contributes a weighted percentage to the overall IRI:</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21"/>
                <w:szCs w:val="21"/>
              </w:rPr>
              <w:t xml:space="preserve">Preparation Domain</w:t>
            </w:r>
          </w:p>
        </w:tc>
        <w:tc>
          <w:tcPr>
            <w:tcW w:type="dxa" w:w="37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21"/>
                <w:szCs w:val="21"/>
              </w:rPr>
              <w:t xml:space="preserve">Measured By</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21"/>
                <w:szCs w:val="21"/>
              </w:rPr>
              <w:t xml:space="preserve">IRI Weight</w:t>
            </w:r>
          </w:p>
        </w:tc>
      </w:tr>
      <w:tr>
        <w:tc>
          <w:tcPr>
            <w:tcW w:type="dxa" w:w="320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r>
              <w:rPr>
                <w:rFonts w:ascii="Arial" w:cs="Arial" w:eastAsia="Arial" w:hAnsi="Arial"/>
                <w:b/>
                <w:bCs/>
                <w:sz w:val="21"/>
                <w:szCs w:val="21"/>
              </w:rPr>
              <w:t xml:space="preserve">Technical Skills</w:t>
            </w:r>
          </w:p>
        </w:tc>
        <w:tc>
          <w:tcPr>
            <w:tcW w:type="dxa" w:w="376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r>
              <w:rPr>
                <w:rFonts w:ascii="Arial" w:cs="Arial" w:eastAsia="Arial" w:hAnsi="Arial"/>
                <w:sz w:val="20"/>
                <w:szCs w:val="20"/>
              </w:rPr>
              <w:t xml:space="preserve">Assessment scores, coding challenges, tool proficiency tests</w:t>
            </w:r>
          </w:p>
        </w:tc>
        <w:tc>
          <w:tcPr>
            <w:tcW w:type="dxa" w:w="240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pPr>
              <w:jc w:val="center"/>
            </w:pPr>
            <w:r>
              <w:rPr>
                <w:rFonts w:ascii="Arial" w:cs="Arial" w:eastAsia="Arial" w:hAnsi="Arial"/>
                <w:b/>
                <w:bCs/>
                <w:color w:val="2E5FA3"/>
                <w:sz w:val="21"/>
                <w:szCs w:val="21"/>
              </w:rPr>
              <w:t xml:space="preserve">30%</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r>
              <w:rPr>
                <w:rFonts w:ascii="Arial" w:cs="Arial" w:eastAsia="Arial" w:hAnsi="Arial"/>
                <w:b/>
                <w:bCs/>
                <w:sz w:val="21"/>
                <w:szCs w:val="21"/>
              </w:rPr>
              <w:t xml:space="preserve">Domain Knowledge</w:t>
            </w:r>
          </w:p>
        </w:tc>
        <w:tc>
          <w:tcPr>
            <w:tcW w:type="dxa" w:w="37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r>
              <w:rPr>
                <w:rFonts w:ascii="Arial" w:cs="Arial" w:eastAsia="Arial" w:hAnsi="Arial"/>
                <w:sz w:val="20"/>
                <w:szCs w:val="20"/>
              </w:rPr>
              <w:t xml:space="preserve">Subject-specific quizzes mapped to target industries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pPr>
              <w:jc w:val="center"/>
            </w:pPr>
            <w:r>
              <w:rPr>
                <w:rFonts w:ascii="Arial" w:cs="Arial" w:eastAsia="Arial" w:hAnsi="Arial"/>
                <w:b/>
                <w:bCs/>
                <w:color w:val="2E5FA3"/>
                <w:sz w:val="21"/>
                <w:szCs w:val="21"/>
              </w:rPr>
              <w:t xml:space="preserve">20%</w:t>
            </w:r>
          </w:p>
        </w:tc>
      </w:tr>
      <w:tr>
        <w:tc>
          <w:tcPr>
            <w:tcW w:type="dxa" w:w="320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r>
              <w:rPr>
                <w:rFonts w:ascii="Arial" w:cs="Arial" w:eastAsia="Arial" w:hAnsi="Arial"/>
                <w:b/>
                <w:bCs/>
                <w:sz w:val="21"/>
                <w:szCs w:val="21"/>
              </w:rPr>
              <w:t xml:space="preserve">Communication Skills</w:t>
            </w:r>
          </w:p>
        </w:tc>
        <w:tc>
          <w:tcPr>
            <w:tcW w:type="dxa" w:w="376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r>
              <w:rPr>
                <w:rFonts w:ascii="Arial" w:cs="Arial" w:eastAsia="Arial" w:hAnsi="Arial"/>
                <w:sz w:val="20"/>
                <w:szCs w:val="20"/>
              </w:rPr>
              <w:t xml:space="preserve">Automated voice GD participation, written task scores</w:t>
            </w:r>
          </w:p>
        </w:tc>
        <w:tc>
          <w:tcPr>
            <w:tcW w:type="dxa" w:w="240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pPr>
              <w:jc w:val="center"/>
            </w:pPr>
            <w:r>
              <w:rPr>
                <w:rFonts w:ascii="Arial" w:cs="Arial" w:eastAsia="Arial" w:hAnsi="Arial"/>
                <w:b/>
                <w:bCs/>
                <w:color w:val="2E5FA3"/>
                <w:sz w:val="21"/>
                <w:szCs w:val="21"/>
              </w:rPr>
              <w:t xml:space="preserve">20%</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r>
              <w:rPr>
                <w:rFonts w:ascii="Arial" w:cs="Arial" w:eastAsia="Arial" w:hAnsi="Arial"/>
                <w:b/>
                <w:bCs/>
                <w:sz w:val="21"/>
                <w:szCs w:val="21"/>
              </w:rPr>
              <w:t xml:space="preserve">Resume Completeness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r>
              <w:rPr>
                <w:rFonts w:ascii="Arial" w:cs="Arial" w:eastAsia="Arial" w:hAnsi="Arial"/>
                <w:sz w:val="20"/>
                <w:szCs w:val="20"/>
              </w:rPr>
              <w:t xml:space="preserve">Linked with Feature K.2 — resume quality scoring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pPr>
              <w:jc w:val="center"/>
            </w:pPr>
            <w:r>
              <w:rPr>
                <w:rFonts w:ascii="Arial" w:cs="Arial" w:eastAsia="Arial" w:hAnsi="Arial"/>
                <w:b/>
                <w:bCs/>
                <w:color w:val="2E5FA3"/>
                <w:sz w:val="21"/>
                <w:szCs w:val="21"/>
              </w:rPr>
              <w:t xml:space="preserve">10%</w:t>
            </w:r>
          </w:p>
        </w:tc>
      </w:tr>
      <w:tr>
        <w:tc>
          <w:tcPr>
            <w:tcW w:type="dxa" w:w="320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r>
              <w:rPr>
                <w:rFonts w:ascii="Arial" w:cs="Arial" w:eastAsia="Arial" w:hAnsi="Arial"/>
                <w:b/>
                <w:bCs/>
                <w:sz w:val="21"/>
                <w:szCs w:val="21"/>
              </w:rPr>
              <w:t xml:space="preserve">Professional Conduct</w:t>
            </w:r>
          </w:p>
        </w:tc>
        <w:tc>
          <w:tcPr>
            <w:tcW w:type="dxa" w:w="376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r>
              <w:rPr>
                <w:rFonts w:ascii="Arial" w:cs="Arial" w:eastAsia="Arial" w:hAnsi="Arial"/>
                <w:sz w:val="20"/>
                <w:szCs w:val="20"/>
              </w:rPr>
              <w:t xml:space="preserve">Attendance, punctuality in mock sessions, deadline compliance</w:t>
            </w:r>
          </w:p>
        </w:tc>
        <w:tc>
          <w:tcPr>
            <w:tcW w:type="dxa" w:w="240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pPr>
              <w:jc w:val="center"/>
            </w:pPr>
            <w:r>
              <w:rPr>
                <w:rFonts w:ascii="Arial" w:cs="Arial" w:eastAsia="Arial" w:hAnsi="Arial"/>
                <w:b/>
                <w:bCs/>
                <w:color w:val="2E5FA3"/>
                <w:sz w:val="21"/>
                <w:szCs w:val="21"/>
              </w:rPr>
              <w:t xml:space="preserve">10%</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r>
              <w:rPr>
                <w:rFonts w:ascii="Arial" w:cs="Arial" w:eastAsia="Arial" w:hAnsi="Arial"/>
                <w:b/>
                <w:bCs/>
                <w:sz w:val="21"/>
                <w:szCs w:val="21"/>
              </w:rPr>
              <w:t xml:space="preserve">Interview Readiness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r>
              <w:rPr>
                <w:rFonts w:ascii="Arial" w:cs="Arial" w:eastAsia="Arial" w:hAnsi="Arial"/>
                <w:sz w:val="20"/>
                <w:szCs w:val="20"/>
              </w:rPr>
              <w:t xml:space="preserve">Linked with Feature K.3 — mock interview completion rate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pPr>
              <w:jc w:val="center"/>
            </w:pPr>
            <w:r>
              <w:rPr>
                <w:rFonts w:ascii="Arial" w:cs="Arial" w:eastAsia="Arial" w:hAnsi="Arial"/>
                <w:b/>
                <w:bCs/>
                <w:color w:val="2E5FA3"/>
                <w:sz w:val="21"/>
                <w:szCs w:val="21"/>
              </w:rPr>
              <w:t xml:space="preserve">10%</w:t>
            </w:r>
          </w:p>
        </w:tc>
      </w:tr>
    </w:tbl>
    <w:p>
      <w:pPr>
        <w:spacing w:before="120" w:after="0"/>
      </w:pPr>
      <w:r>
        <w:t xml:space="preserve"/>
      </w:r>
    </w:p>
    <w:p>
      <w:pPr>
        <w:spacing w:before="200" w:after="100"/>
      </w:pPr>
      <w:r>
        <w:rPr>
          <w:rFonts w:ascii="Arial" w:cs="Arial" w:eastAsia="Arial" w:hAnsi="Arial"/>
          <w:b/>
          <w:bCs/>
          <w:color w:val="1B3A6B"/>
          <w:sz w:val="24"/>
          <w:szCs w:val="24"/>
        </w:rPr>
        <w:t xml:space="preserve">B. Milestone Roadmap Engine</w:t>
      </w:r>
    </w:p>
    <w:p>
      <w:pPr>
        <w:spacing w:before="80" w:after="80"/>
        <w:jc w:val="both"/>
      </w:pPr>
      <w:r>
        <w:rPr>
          <w:rFonts w:ascii="Arial" w:cs="Arial" w:eastAsia="Arial" w:hAnsi="Arial"/>
          <w:sz w:val="22"/>
          <w:szCs w:val="22"/>
        </w:rPr>
        <w:t xml:space="preserve">Each student is assigned a personalized preparation roadmap generated at the time of enrollment. The roadmap consists of time-stamped milestones organized in sequential phases:</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Phase 1 — Foundation (Weeks 1–4): Core technical skill assessments, domain knowledge mapping, initial resume creation.</w:t>
      </w:r>
    </w:p>
    <w:p>
      <w:pPr>
        <w:pStyle w:val="ListParagraph"/>
        <w:numPr>
          <w:ilvl w:val="0"/>
          <w:numId w:val="2"/>
        </w:numPr>
        <w:spacing w:before="60" w:after="60"/>
      </w:pPr>
      <w:r>
        <w:rPr>
          <w:rFonts w:ascii="Arial" w:cs="Arial" w:eastAsia="Arial" w:hAnsi="Arial"/>
          <w:sz w:val="22"/>
          <w:szCs w:val="22"/>
        </w:rPr>
        <w:t xml:space="preserve">Phase 2 — Development (Weeks 5–10): Practice assessments, mock GD participation, resume refinement loops.</w:t>
      </w:r>
    </w:p>
    <w:p>
      <w:pPr>
        <w:pStyle w:val="ListParagraph"/>
        <w:numPr>
          <w:ilvl w:val="0"/>
          <w:numId w:val="2"/>
        </w:numPr>
        <w:spacing w:before="60" w:after="60"/>
      </w:pPr>
      <w:r>
        <w:rPr>
          <w:rFonts w:ascii="Arial" w:cs="Arial" w:eastAsia="Arial" w:hAnsi="Arial"/>
          <w:sz w:val="22"/>
          <w:szCs w:val="22"/>
        </w:rPr>
        <w:t xml:space="preserve">Phase 3 — Application Readiness (Weeks 11–16): Mock interviews, employer simulation exercises, final IRI computation.</w:t>
      </w:r>
    </w:p>
    <w:p>
      <w:pPr>
        <w:pStyle w:val="ListParagraph"/>
        <w:numPr>
          <w:ilvl w:val="0"/>
          <w:numId w:val="2"/>
        </w:numPr>
        <w:spacing w:before="60" w:after="60"/>
      </w:pPr>
      <w:r>
        <w:rPr>
          <w:rFonts w:ascii="Arial" w:cs="Arial" w:eastAsia="Arial" w:hAnsi="Arial"/>
          <w:sz w:val="22"/>
          <w:szCs w:val="22"/>
        </w:rPr>
        <w:t xml:space="preserve">Phase 4 — Placement Active: Live application tracking, interview scheduling, offer management.</w:t>
      </w:r>
    </w:p>
    <w:p>
      <w:pPr>
        <w:spacing w:before="80" w:after="0"/>
      </w:pPr>
      <w:r>
        <w:t xml:space="preserve"/>
      </w:r>
    </w:p>
    <w:p>
      <w:pPr>
        <w:spacing w:before="80" w:after="80"/>
        <w:jc w:val="both"/>
      </w:pPr>
      <w:r>
        <w:rPr>
          <w:rFonts w:ascii="Arial" w:cs="Arial" w:eastAsia="Arial" w:hAnsi="Arial"/>
          <w:sz w:val="22"/>
          <w:szCs w:val="22"/>
        </w:rPr>
        <w:t xml:space="preserve">Milestones are automatically marked complete based on system-verified actions, not self-reporting. For instance, a milestone labeled 'Complete Technical Assessment Module 3' is only checked off when the system registers a completed and scored submission — not when the student marks it manually.</w:t>
      </w:r>
    </w:p>
    <w:p>
      <w:pPr>
        <w:spacing w:before="80" w:after="0"/>
      </w:pPr>
      <w:r>
        <w:t xml:space="preserve"/>
      </w:r>
    </w:p>
    <w:p>
      <w:pPr>
        <w:spacing w:before="200" w:after="100"/>
      </w:pPr>
      <w:r>
        <w:rPr>
          <w:rFonts w:ascii="Arial" w:cs="Arial" w:eastAsia="Arial" w:hAnsi="Arial"/>
          <w:b/>
          <w:bCs/>
          <w:color w:val="1B3A6B"/>
          <w:sz w:val="24"/>
          <w:szCs w:val="24"/>
        </w:rPr>
        <w:t xml:space="preserve">C. Real-Time IRI Dashboard</w:t>
      </w:r>
    </w:p>
    <w:p>
      <w:pPr>
        <w:spacing w:before="80" w:after="80"/>
        <w:jc w:val="both"/>
      </w:pPr>
      <w:r>
        <w:rPr>
          <w:rFonts w:ascii="Arial" w:cs="Arial" w:eastAsia="Arial" w:hAnsi="Arial"/>
          <w:sz w:val="22"/>
          <w:szCs w:val="22"/>
        </w:rPr>
        <w:t xml:space="preserve">Students can access a real-time Internship Readiness Index dashboard that displays:</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Overall IRI score (0–100) with color-coded thresholds: Red (0–40), Amber (41–70), Green (71–100).</w:t>
      </w:r>
    </w:p>
    <w:p>
      <w:pPr>
        <w:pStyle w:val="ListParagraph"/>
        <w:numPr>
          <w:ilvl w:val="0"/>
          <w:numId w:val="2"/>
        </w:numPr>
        <w:spacing w:before="60" w:after="60"/>
      </w:pPr>
      <w:r>
        <w:rPr>
          <w:rFonts w:ascii="Arial" w:cs="Arial" w:eastAsia="Arial" w:hAnsi="Arial"/>
          <w:sz w:val="22"/>
          <w:szCs w:val="22"/>
        </w:rPr>
        <w:t xml:space="preserve">Per-domain scores with individual drill-down views showing sub-component performance.</w:t>
      </w:r>
    </w:p>
    <w:p>
      <w:pPr>
        <w:pStyle w:val="ListParagraph"/>
        <w:numPr>
          <w:ilvl w:val="0"/>
          <w:numId w:val="2"/>
        </w:numPr>
        <w:spacing w:before="60" w:after="60"/>
      </w:pPr>
      <w:r>
        <w:rPr>
          <w:rFonts w:ascii="Arial" w:cs="Arial" w:eastAsia="Arial" w:hAnsi="Arial"/>
          <w:sz w:val="22"/>
          <w:szCs w:val="22"/>
        </w:rPr>
        <w:t xml:space="preserve">Trend line showing IRI progression over the past 30, 60, and 90 days.</w:t>
      </w:r>
    </w:p>
    <w:p>
      <w:pPr>
        <w:pStyle w:val="ListParagraph"/>
        <w:numPr>
          <w:ilvl w:val="0"/>
          <w:numId w:val="2"/>
        </w:numPr>
        <w:spacing w:before="60" w:after="60"/>
      </w:pPr>
      <w:r>
        <w:rPr>
          <w:rFonts w:ascii="Arial" w:cs="Arial" w:eastAsia="Arial" w:hAnsi="Arial"/>
          <w:sz w:val="22"/>
          <w:szCs w:val="22"/>
        </w:rPr>
        <w:t xml:space="preserve">Benchmark comparison: student IRI vs. cohort average vs. top 10th percentile.</w:t>
      </w:r>
    </w:p>
    <w:p>
      <w:pPr>
        <w:pStyle w:val="ListParagraph"/>
        <w:numPr>
          <w:ilvl w:val="0"/>
          <w:numId w:val="2"/>
        </w:numPr>
        <w:spacing w:before="60" w:after="60"/>
      </w:pPr>
      <w:r>
        <w:rPr>
          <w:rFonts w:ascii="Arial" w:cs="Arial" w:eastAsia="Arial" w:hAnsi="Arial"/>
          <w:sz w:val="22"/>
          <w:szCs w:val="22"/>
        </w:rPr>
        <w:t xml:space="preserve">Gap analysis panel: automatically identifies the lowest-weighted domains and recommends priority actions.</w:t>
      </w:r>
    </w:p>
    <w:p>
      <w:pPr>
        <w:spacing w:before="80" w:after="0"/>
      </w:pPr>
      <w:r>
        <w:t xml:space="preserve"/>
      </w:r>
    </w:p>
    <w:p>
      <w:pPr>
        <w:spacing w:before="200" w:after="100"/>
      </w:pPr>
      <w:r>
        <w:rPr>
          <w:rFonts w:ascii="Arial" w:cs="Arial" w:eastAsia="Arial" w:hAnsi="Arial"/>
          <w:b/>
          <w:bCs/>
          <w:color w:val="1B3A6B"/>
          <w:sz w:val="24"/>
          <w:szCs w:val="24"/>
        </w:rPr>
        <w:t xml:space="preserve">D. Advisor &amp; Placement Officer View</w:t>
      </w:r>
    </w:p>
    <w:p>
      <w:pPr>
        <w:spacing w:before="80" w:after="80"/>
        <w:jc w:val="both"/>
      </w:pPr>
      <w:r>
        <w:rPr>
          <w:rFonts w:ascii="Arial" w:cs="Arial" w:eastAsia="Arial" w:hAnsi="Arial"/>
          <w:sz w:val="22"/>
          <w:szCs w:val="22"/>
        </w:rPr>
        <w:t xml:space="preserve">Career advisors and placement coordinators access an aggregated cohort view that surfaces:</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Heat map of all students by IRI band (Red / Amber / Green) with one-click drill-down.</w:t>
      </w:r>
    </w:p>
    <w:p>
      <w:pPr>
        <w:pStyle w:val="ListParagraph"/>
        <w:numPr>
          <w:ilvl w:val="0"/>
          <w:numId w:val="2"/>
        </w:numPr>
        <w:spacing w:before="60" w:after="60"/>
      </w:pPr>
      <w:r>
        <w:rPr>
          <w:rFonts w:ascii="Arial" w:cs="Arial" w:eastAsia="Arial" w:hAnsi="Arial"/>
          <w:sz w:val="22"/>
          <w:szCs w:val="22"/>
        </w:rPr>
        <w:t xml:space="preserve">Students at risk of missing placement cycles based on trajectory modeling.</w:t>
      </w:r>
    </w:p>
    <w:p>
      <w:pPr>
        <w:pStyle w:val="ListParagraph"/>
        <w:numPr>
          <w:ilvl w:val="0"/>
          <w:numId w:val="2"/>
        </w:numPr>
        <w:spacing w:before="60" w:after="60"/>
      </w:pPr>
      <w:r>
        <w:rPr>
          <w:rFonts w:ascii="Arial" w:cs="Arial" w:eastAsia="Arial" w:hAnsi="Arial"/>
          <w:sz w:val="22"/>
          <w:szCs w:val="22"/>
        </w:rPr>
        <w:t xml:space="preserve">Auto-generated intervention flags for students who have not logged activity in 7+ days.</w:t>
      </w:r>
    </w:p>
    <w:p>
      <w:pPr>
        <w:pStyle w:val="ListParagraph"/>
        <w:numPr>
          <w:ilvl w:val="0"/>
          <w:numId w:val="2"/>
        </w:numPr>
        <w:spacing w:before="60" w:after="60"/>
      </w:pPr>
      <w:r>
        <w:rPr>
          <w:rFonts w:ascii="Arial" w:cs="Arial" w:eastAsia="Arial" w:hAnsi="Arial"/>
          <w:sz w:val="22"/>
          <w:szCs w:val="22"/>
        </w:rPr>
        <w:t xml:space="preserve">Exportable cohort readiness reports in PDF and CSV for institutional reporting.</w:t>
      </w:r>
    </w:p>
    <w:p>
      <w:pPr>
        <w:spacing w:before="120" w:after="0"/>
      </w:pPr>
      <w:r>
        <w:t xml:space="preserve"/>
      </w:r>
    </w:p>
    <w:p>
      <w:pPr>
        <w:pStyle w:val="Heading2"/>
        <w:spacing w:before="280" w:after="140"/>
      </w:pPr>
      <w:r>
        <w:rPr>
          <w:rFonts w:ascii="Arial" w:cs="Arial" w:eastAsia="Arial" w:hAnsi="Arial"/>
          <w:b/>
          <w:bCs/>
          <w:color w:val="2E5FA3"/>
          <w:sz w:val="28"/>
          <w:szCs w:val="28"/>
        </w:rPr>
        <w:t xml:space="preserve">1.3  Data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1F9" w:val="clear"/>
            <w:tcMar>
              <w:top w:type="dxa" w:w="100"/>
              <w:left w:type="dxa" w:w="160"/>
              <w:bottom w:type="dxa" w:w="100"/>
              <w:right w:type="dxa" w:w="120"/>
            </w:tcMar>
          </w:tcPr>
          <w:p>
            <w:r>
              <w:rPr>
                <w:rFonts w:ascii="Arial" w:cs="Arial" w:eastAsia="Arial" w:hAnsi="Arial"/>
                <w:b/>
                <w:bCs/>
                <w:color w:val="1B3A6B"/>
                <w:sz w:val="21"/>
                <w:szCs w:val="21"/>
              </w:rPr>
              <w:t xml:space="preserve">Primary Data Source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Assessment engine scores, GD session logs, resume version history, interview module outputs</w:t>
            </w:r>
          </w:p>
        </w:tc>
      </w:tr>
      <w:tr>
        <w:tc>
          <w:tcPr>
            <w:tcW w:type="dxa" w:w="2800"/>
            <w:tcBorders>
              <w:top w:val="single" w:color="CCCCCC" w:sz="1"/>
              <w:left w:val="single" w:color="CCCCCC" w:sz="1"/>
              <w:bottom w:val="single" w:color="CCCCCC" w:sz="1"/>
              <w:right w:val="single" w:color="CCCCCC" w:sz="1"/>
            </w:tcBorders>
            <w:shd w:fill="F5F8FD" w:val="clear"/>
            <w:tcMar>
              <w:top w:type="dxa" w:w="100"/>
              <w:left w:type="dxa" w:w="160"/>
              <w:bottom w:type="dxa" w:w="100"/>
              <w:right w:type="dxa" w:w="120"/>
            </w:tcMar>
          </w:tcPr>
          <w:p>
            <w:r>
              <w:rPr>
                <w:rFonts w:ascii="Arial" w:cs="Arial" w:eastAsia="Arial" w:hAnsi="Arial"/>
                <w:b/>
                <w:bCs/>
                <w:color w:val="1B3A6B"/>
                <w:sz w:val="21"/>
                <w:szCs w:val="21"/>
              </w:rPr>
              <w:t xml:space="preserve">Update Frequency</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60"/>
              <w:bottom w:type="dxa" w:w="100"/>
              <w:right w:type="dxa" w:w="120"/>
            </w:tcMar>
          </w:tcPr>
          <w:p>
            <w:r>
              <w:rPr>
                <w:rFonts w:ascii="Arial" w:cs="Arial" w:eastAsia="Arial" w:hAnsi="Arial"/>
                <w:sz w:val="21"/>
                <w:szCs w:val="21"/>
              </w:rPr>
              <w:t xml:space="preserve">IRI recalculated after every tracked activity (near real-time)</w:t>
            </w:r>
          </w:p>
        </w:tc>
      </w:tr>
      <w:tr>
        <w:tc>
          <w:tcPr>
            <w:tcW w:type="dxa" w:w="2800"/>
            <w:tcBorders>
              <w:top w:val="single" w:color="CCCCCC" w:sz="1"/>
              <w:left w:val="single" w:color="CCCCCC" w:sz="1"/>
              <w:bottom w:val="single" w:color="CCCCCC" w:sz="1"/>
              <w:right w:val="single" w:color="CCCCCC" w:sz="1"/>
            </w:tcBorders>
            <w:shd w:fill="EBF1F9" w:val="clear"/>
            <w:tcMar>
              <w:top w:type="dxa" w:w="100"/>
              <w:left w:type="dxa" w:w="160"/>
              <w:bottom w:type="dxa" w:w="100"/>
              <w:right w:type="dxa" w:w="120"/>
            </w:tcMar>
          </w:tcPr>
          <w:p>
            <w:r>
              <w:rPr>
                <w:rFonts w:ascii="Arial" w:cs="Arial" w:eastAsia="Arial" w:hAnsi="Arial"/>
                <w:b/>
                <w:bCs/>
                <w:color w:val="1B3A6B"/>
                <w:sz w:val="21"/>
                <w:szCs w:val="21"/>
              </w:rPr>
              <w:t xml:space="preserve">Storage Model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Student profile with versioned score snapshots; audit-log-friendly schema</w:t>
            </w:r>
          </w:p>
        </w:tc>
      </w:tr>
      <w:tr>
        <w:tc>
          <w:tcPr>
            <w:tcW w:type="dxa" w:w="2800"/>
            <w:tcBorders>
              <w:top w:val="single" w:color="CCCCCC" w:sz="1"/>
              <w:left w:val="single" w:color="CCCCCC" w:sz="1"/>
              <w:bottom w:val="single" w:color="CCCCCC" w:sz="1"/>
              <w:right w:val="single" w:color="CCCCCC" w:sz="1"/>
            </w:tcBorders>
            <w:shd w:fill="F5F8FD" w:val="clear"/>
            <w:tcMar>
              <w:top w:type="dxa" w:w="100"/>
              <w:left w:type="dxa" w:w="160"/>
              <w:bottom w:type="dxa" w:w="100"/>
              <w:right w:type="dxa" w:w="120"/>
            </w:tcMar>
          </w:tcPr>
          <w:p>
            <w:r>
              <w:rPr>
                <w:rFonts w:ascii="Arial" w:cs="Arial" w:eastAsia="Arial" w:hAnsi="Arial"/>
                <w:b/>
                <w:bCs/>
                <w:color w:val="1B3A6B"/>
                <w:sz w:val="21"/>
                <w:szCs w:val="21"/>
              </w:rPr>
              <w:t xml:space="preserve">Integration Points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60"/>
              <w:bottom w:type="dxa" w:w="100"/>
              <w:right w:type="dxa" w:w="120"/>
            </w:tcMar>
          </w:tcPr>
          <w:p>
            <w:r>
              <w:rPr>
                <w:rFonts w:ascii="Arial" w:cs="Arial" w:eastAsia="Arial" w:hAnsi="Arial"/>
                <w:sz w:val="21"/>
                <w:szCs w:val="21"/>
              </w:rPr>
              <w:t xml:space="preserve">Features K.2 (Resume), K.3 (Interview), K.4 (Recommendations), K.5 (Employer Analytics)</w:t>
            </w:r>
          </w:p>
        </w:tc>
      </w:tr>
      <w:tr>
        <w:tc>
          <w:tcPr>
            <w:tcW w:type="dxa" w:w="2800"/>
            <w:tcBorders>
              <w:top w:val="single" w:color="CCCCCC" w:sz="1"/>
              <w:left w:val="single" w:color="CCCCCC" w:sz="1"/>
              <w:bottom w:val="single" w:color="CCCCCC" w:sz="1"/>
              <w:right w:val="single" w:color="CCCCCC" w:sz="1"/>
            </w:tcBorders>
            <w:shd w:fill="EBF1F9" w:val="clear"/>
            <w:tcMar>
              <w:top w:type="dxa" w:w="100"/>
              <w:left w:type="dxa" w:w="160"/>
              <w:bottom w:type="dxa" w:w="100"/>
              <w:right w:type="dxa" w:w="120"/>
            </w:tcMar>
          </w:tcPr>
          <w:p>
            <w:r>
              <w:rPr>
                <w:rFonts w:ascii="Arial" w:cs="Arial" w:eastAsia="Arial" w:hAnsi="Arial"/>
                <w:b/>
                <w:bCs/>
                <w:color w:val="1B3A6B"/>
                <w:sz w:val="21"/>
                <w:szCs w:val="21"/>
              </w:rPr>
              <w:t xml:space="preserve">Access Control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Student: own data only | Advisor: cohort view | Admin: full platform view</w:t>
            </w:r>
          </w:p>
        </w:tc>
      </w:tr>
    </w:tbl>
    <w:p>
      <w:pPr>
        <w:spacing w:before="120" w:after="0"/>
      </w:pPr>
      <w:r>
        <w:t xml:space="preserve"/>
      </w:r>
    </w:p>
    <w:p>
      <w:pPr>
        <w:pStyle w:val="Heading2"/>
        <w:spacing w:before="280" w:after="140"/>
      </w:pPr>
      <w:r>
        <w:rPr>
          <w:rFonts w:ascii="Arial" w:cs="Arial" w:eastAsia="Arial" w:hAnsi="Arial"/>
          <w:b/>
          <w:bCs/>
          <w:color w:val="2E5FA3"/>
          <w:sz w:val="28"/>
          <w:szCs w:val="28"/>
        </w:rPr>
        <w:t xml:space="preserve">1.4  User Stories</w:t>
      </w:r>
    </w:p>
    <w:p>
      <w:pPr>
        <w:pStyle w:val="ListParagraph"/>
        <w:numPr>
          <w:ilvl w:val="0"/>
          <w:numId w:val="2"/>
        </w:numPr>
        <w:spacing w:before="60" w:after="60"/>
      </w:pPr>
      <w:r>
        <w:rPr>
          <w:rFonts w:ascii="Arial" w:cs="Arial" w:eastAsia="Arial" w:hAnsi="Arial"/>
          <w:sz w:val="22"/>
          <w:szCs w:val="22"/>
        </w:rPr>
        <w:t xml:space="preserve">As a student, I want to see exactly which preparation areas are dragging my IRI score down, so I can focus my time on the highest-impact activities.</w:t>
      </w:r>
    </w:p>
    <w:p>
      <w:pPr>
        <w:pStyle w:val="ListParagraph"/>
        <w:numPr>
          <w:ilvl w:val="0"/>
          <w:numId w:val="2"/>
        </w:numPr>
        <w:spacing w:before="60" w:after="60"/>
      </w:pPr>
      <w:r>
        <w:rPr>
          <w:rFonts w:ascii="Arial" w:cs="Arial" w:eastAsia="Arial" w:hAnsi="Arial"/>
          <w:sz w:val="22"/>
          <w:szCs w:val="22"/>
        </w:rPr>
        <w:t xml:space="preserve">As a placement officer, I want to identify students who are behind on preparation at least 4 weeks before the placement cycle opens, so I can schedule targeted interventions.</w:t>
      </w:r>
    </w:p>
    <w:p>
      <w:pPr>
        <w:pStyle w:val="ListParagraph"/>
        <w:numPr>
          <w:ilvl w:val="0"/>
          <w:numId w:val="2"/>
        </w:numPr>
        <w:spacing w:before="60" w:after="60"/>
      </w:pPr>
      <w:r>
        <w:rPr>
          <w:rFonts w:ascii="Arial" w:cs="Arial" w:eastAsia="Arial" w:hAnsi="Arial"/>
          <w:sz w:val="22"/>
          <w:szCs w:val="22"/>
        </w:rPr>
        <w:t xml:space="preserve">As an institution admin, I want to compare internship readiness across departments and batches to identify systemic skill gaps and adjust curriculum.</w:t>
      </w:r>
    </w:p>
    <w:p>
      <w:pPr>
        <w:spacing w:before="120" w:after="0"/>
      </w:pPr>
      <w:r>
        <w:t xml:space="preserve"/>
      </w:r>
    </w:p>
    <w:p>
      <w:pPr>
        <w:pStyle w:val="Heading2"/>
        <w:spacing w:before="280" w:after="140"/>
      </w:pPr>
      <w:r>
        <w:rPr>
          <w:rFonts w:ascii="Arial" w:cs="Arial" w:eastAsia="Arial" w:hAnsi="Arial"/>
          <w:b/>
          <w:bCs/>
          <w:color w:val="2E5FA3"/>
          <w:sz w:val="28"/>
          <w:szCs w:val="28"/>
        </w:rPr>
        <w:t xml:space="preserve">1.5  Success Metrics</w:t>
      </w:r>
    </w:p>
    <w:p>
      <w:pPr>
        <w:pStyle w:val="ListParagraph"/>
        <w:numPr>
          <w:ilvl w:val="0"/>
          <w:numId w:val="2"/>
        </w:numPr>
        <w:spacing w:before="60" w:after="60"/>
      </w:pPr>
      <w:r>
        <w:rPr>
          <w:rFonts w:ascii="Arial" w:cs="Arial" w:eastAsia="Arial" w:hAnsi="Arial"/>
          <w:sz w:val="22"/>
          <w:szCs w:val="22"/>
        </w:rPr>
        <w:t xml:space="preserve">Mean IRI improvement per cohort across successive academic batches.</w:t>
      </w:r>
    </w:p>
    <w:p>
      <w:pPr>
        <w:pStyle w:val="ListParagraph"/>
        <w:numPr>
          <w:ilvl w:val="0"/>
          <w:numId w:val="2"/>
        </w:numPr>
        <w:spacing w:before="60" w:after="60"/>
      </w:pPr>
      <w:r>
        <w:rPr>
          <w:rFonts w:ascii="Arial" w:cs="Arial" w:eastAsia="Arial" w:hAnsi="Arial"/>
          <w:sz w:val="22"/>
          <w:szCs w:val="22"/>
        </w:rPr>
        <w:t xml:space="preserve">Reduction in percentage of students entering placement cycle with IRI below 50.</w:t>
      </w:r>
    </w:p>
    <w:p>
      <w:pPr>
        <w:pStyle w:val="ListParagraph"/>
        <w:numPr>
          <w:ilvl w:val="0"/>
          <w:numId w:val="2"/>
        </w:numPr>
        <w:spacing w:before="60" w:after="60"/>
      </w:pPr>
      <w:r>
        <w:rPr>
          <w:rFonts w:ascii="Arial" w:cs="Arial" w:eastAsia="Arial" w:hAnsi="Arial"/>
          <w:sz w:val="22"/>
          <w:szCs w:val="22"/>
        </w:rPr>
        <w:t xml:space="preserve">Correlation coefficient between IRI and actual internship offer rate.</w:t>
      </w:r>
    </w:p>
    <w:p>
      <w:pPr>
        <w:pStyle w:val="ListParagraph"/>
        <w:numPr>
          <w:ilvl w:val="0"/>
          <w:numId w:val="2"/>
        </w:numPr>
        <w:spacing w:before="60" w:after="60"/>
      </w:pPr>
      <w:r>
        <w:rPr>
          <w:rFonts w:ascii="Arial" w:cs="Arial" w:eastAsia="Arial" w:hAnsi="Arial"/>
          <w:sz w:val="22"/>
          <w:szCs w:val="22"/>
        </w:rPr>
        <w:t xml:space="preserve">Advisor response time to intervention flags (target: within 48 hours).</w:t>
      </w:r>
    </w:p>
    <w:p>
      <w:r>
        <w:br w:type="page"/>
      </w:r>
    </w:p>
    <w:p>
      <w:pPr>
        <w:pBdr>
          <w:left w:val="single" w:color="2E5FA3" w:sz="24" w:space="12"/>
        </w:pBdr>
        <w:spacing w:before="400" w:after="160"/>
        <w:ind w:left="360"/>
      </w:pPr>
      <w:r>
        <w:rPr>
          <w:rFonts w:ascii="Arial" w:cs="Arial" w:eastAsia="Arial" w:hAnsi="Arial"/>
          <w:b/>
          <w:bCs/>
          <w:color w:val="2E5FA3"/>
          <w:sz w:val="32"/>
          <w:szCs w:val="32"/>
        </w:rPr>
        <w:t xml:space="preserve">Feature K.2: </w:t>
      </w:r>
      <w:r>
        <w:rPr>
          <w:rFonts w:ascii="Arial" w:cs="Arial" w:eastAsia="Arial" w:hAnsi="Arial"/>
          <w:b/>
          <w:bCs/>
          <w:color w:val="1B3A6B"/>
          <w:sz w:val="32"/>
          <w:szCs w:val="32"/>
        </w:rPr>
        <w:t xml:space="preserve">Resume Preparation Monitoring</w:t>
      </w:r>
    </w:p>
    <w:p>
      <w:pPr>
        <w:spacing w:before="100" w:after="0"/>
      </w:pPr>
      <w:r>
        <w:t xml:space="preserve"/>
      </w:r>
    </w:p>
    <w:p>
      <w:pPr>
        <w:pStyle w:val="Heading2"/>
        <w:spacing w:before="280" w:after="140"/>
      </w:pPr>
      <w:r>
        <w:rPr>
          <w:rFonts w:ascii="Arial" w:cs="Arial" w:eastAsia="Arial" w:hAnsi="Arial"/>
          <w:b/>
          <w:bCs/>
          <w:color w:val="2E5FA3"/>
          <w:sz w:val="28"/>
          <w:szCs w:val="28"/>
        </w:rPr>
        <w:t xml:space="preserve">2.1  Purpose &amp; Strategic Value</w:t>
      </w:r>
    </w:p>
    <w:p>
      <w:pPr>
        <w:spacing w:before="80" w:after="80"/>
        <w:jc w:val="both"/>
      </w:pPr>
      <w:r>
        <w:rPr>
          <w:rFonts w:ascii="Arial" w:cs="Arial" w:eastAsia="Arial" w:hAnsi="Arial"/>
          <w:sz w:val="22"/>
          <w:szCs w:val="22"/>
        </w:rPr>
        <w:t xml:space="preserve">Resume Preparation Monitoring transforms resume building from a one-time, unguided event into a continuous, feedback-driven improvement cycle. A resume is the primary document that determines whether a candidate receives an interview — and yet most students submit low-quality, unstructured, or role-mismatched resumes with no objective measure of quality.</w:t>
      </w:r>
    </w:p>
    <w:p>
      <w:pPr>
        <w:spacing w:before="80" w:after="0"/>
      </w:pPr>
      <w:r>
        <w:t xml:space="preserve"/>
      </w:r>
    </w:p>
    <w:p>
      <w:pPr>
        <w:spacing w:before="80" w:after="80"/>
        <w:jc w:val="both"/>
      </w:pPr>
      <w:r>
        <w:rPr>
          <w:rFonts w:ascii="Arial" w:cs="Arial" w:eastAsia="Arial" w:hAnsi="Arial"/>
          <w:sz w:val="22"/>
          <w:szCs w:val="22"/>
        </w:rPr>
        <w:t xml:space="preserve">This feature provides a Resume Quality Score (RQS) computed by rule-based analysis across multiple quality dimensions. It integrates with version control to track improvements over time, connects to target job role requirements for gap identification, and enables counselors to review and annotate resumes at scale without one-on-one sessions.</w:t>
      </w:r>
    </w:p>
    <w:p>
      <w:pPr>
        <w:spacing w:before="80" w:after="0"/>
      </w:pPr>
      <w:r>
        <w:t xml:space="preserve"/>
      </w:r>
    </w:p>
    <w:p>
      <w:pPr>
        <w:pStyle w:val="Heading2"/>
        <w:spacing w:before="280" w:after="140"/>
      </w:pPr>
      <w:r>
        <w:rPr>
          <w:rFonts w:ascii="Arial" w:cs="Arial" w:eastAsia="Arial" w:hAnsi="Arial"/>
          <w:b/>
          <w:bCs/>
          <w:color w:val="2E5FA3"/>
          <w:sz w:val="28"/>
          <w:szCs w:val="28"/>
        </w:rPr>
        <w:t xml:space="preserve">2.2  Key Functional Components</w:t>
      </w:r>
    </w:p>
    <w:p>
      <w:pPr>
        <w:spacing w:before="60" w:after="0"/>
      </w:pPr>
      <w:r>
        <w:t xml:space="preserve"/>
      </w:r>
    </w:p>
    <w:p>
      <w:pPr>
        <w:spacing w:before="200" w:after="100"/>
      </w:pPr>
      <w:r>
        <w:rPr>
          <w:rFonts w:ascii="Arial" w:cs="Arial" w:eastAsia="Arial" w:hAnsi="Arial"/>
          <w:b/>
          <w:bCs/>
          <w:color w:val="1B3A6B"/>
          <w:sz w:val="24"/>
          <w:szCs w:val="24"/>
        </w:rPr>
        <w:t xml:space="preserve">A. Resume Quality Score (RQS) Engine</w:t>
      </w:r>
    </w:p>
    <w:p>
      <w:pPr>
        <w:spacing w:before="80" w:after="80"/>
        <w:jc w:val="both"/>
      </w:pPr>
      <w:r>
        <w:rPr>
          <w:rFonts w:ascii="Arial" w:cs="Arial" w:eastAsia="Arial" w:hAnsi="Arial"/>
          <w:sz w:val="22"/>
          <w:szCs w:val="22"/>
        </w:rPr>
        <w:t xml:space="preserve">Every resume uploaded to the platform is automatically analyzed across six quality dimensions. The RQS is computed as a weighted average: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21"/>
                <w:szCs w:val="21"/>
              </w:rPr>
              <w:t xml:space="preserve">Quality Dimension</w:t>
            </w:r>
          </w:p>
        </w:tc>
        <w:tc>
          <w:tcPr>
            <w:tcW w:type="dxa" w:w="45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21"/>
                <w:szCs w:val="21"/>
              </w:rPr>
              <w:t xml:space="preserve">Analysis Criteria</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21"/>
                <w:szCs w:val="21"/>
              </w:rPr>
              <w:t xml:space="preserve">Weight</w:t>
            </w:r>
          </w:p>
        </w:tc>
      </w:tr>
      <w:tr>
        <w:tc>
          <w:tcPr>
            <w:tcW w:type="dxa" w:w="280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r>
              <w:rPr>
                <w:rFonts w:ascii="Arial" w:cs="Arial" w:eastAsia="Arial" w:hAnsi="Arial"/>
                <w:b/>
                <w:bCs/>
                <w:sz w:val="20"/>
                <w:szCs w:val="20"/>
              </w:rPr>
              <w:t xml:space="preserve">Structural Completeness</w:t>
            </w:r>
          </w:p>
        </w:tc>
        <w:tc>
          <w:tcPr>
            <w:tcW w:type="dxa" w:w="456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r>
              <w:rPr>
                <w:rFonts w:ascii="Arial" w:cs="Arial" w:eastAsia="Arial" w:hAnsi="Arial"/>
                <w:sz w:val="20"/>
                <w:szCs w:val="20"/>
              </w:rPr>
              <w:t xml:space="preserve">Presence of all required sections: Contact, Objective, Education, Experience, Skills, Projects</w:t>
            </w:r>
          </w:p>
        </w:tc>
        <w:tc>
          <w:tcPr>
            <w:tcW w:type="dxa" w:w="200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pPr>
              <w:jc w:val="center"/>
            </w:pPr>
            <w:r>
              <w:rPr>
                <w:rFonts w:ascii="Arial" w:cs="Arial" w:eastAsia="Arial" w:hAnsi="Arial"/>
                <w:b/>
                <w:bCs/>
                <w:color w:val="2E5FA3"/>
                <w:sz w:val="21"/>
                <w:szCs w:val="21"/>
              </w:rPr>
              <w:t xml:space="preserve">20%</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r>
              <w:rPr>
                <w:rFonts w:ascii="Arial" w:cs="Arial" w:eastAsia="Arial" w:hAnsi="Arial"/>
                <w:b/>
                <w:bCs/>
                <w:sz w:val="20"/>
                <w:szCs w:val="20"/>
              </w:rPr>
              <w:t xml:space="preserve">Content Density</w:t>
            </w:r>
          </w:p>
        </w:tc>
        <w:tc>
          <w:tcPr>
            <w:tcW w:type="dxa" w:w="4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r>
              <w:rPr>
                <w:rFonts w:ascii="Arial" w:cs="Arial" w:eastAsia="Arial" w:hAnsi="Arial"/>
                <w:sz w:val="20"/>
                <w:szCs w:val="20"/>
              </w:rPr>
              <w:t xml:space="preserve">Quantified achievements vs. generic statements; action verb usage rate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pPr>
              <w:jc w:val="center"/>
            </w:pPr>
            <w:r>
              <w:rPr>
                <w:rFonts w:ascii="Arial" w:cs="Arial" w:eastAsia="Arial" w:hAnsi="Arial"/>
                <w:b/>
                <w:bCs/>
                <w:color w:val="2E5FA3"/>
                <w:sz w:val="21"/>
                <w:szCs w:val="21"/>
              </w:rPr>
              <w:t xml:space="preserve">25%</w:t>
            </w:r>
          </w:p>
        </w:tc>
      </w:tr>
      <w:tr>
        <w:tc>
          <w:tcPr>
            <w:tcW w:type="dxa" w:w="280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r>
              <w:rPr>
                <w:rFonts w:ascii="Arial" w:cs="Arial" w:eastAsia="Arial" w:hAnsi="Arial"/>
                <w:b/>
                <w:bCs/>
                <w:sz w:val="20"/>
                <w:szCs w:val="20"/>
              </w:rPr>
              <w:t xml:space="preserve">Role Alignment</w:t>
            </w:r>
          </w:p>
        </w:tc>
        <w:tc>
          <w:tcPr>
            <w:tcW w:type="dxa" w:w="456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r>
              <w:rPr>
                <w:rFonts w:ascii="Arial" w:cs="Arial" w:eastAsia="Arial" w:hAnsi="Arial"/>
                <w:sz w:val="20"/>
                <w:szCs w:val="20"/>
              </w:rPr>
              <w:t xml:space="preserve">Keyword match rate against target job descriptions in the system</w:t>
            </w:r>
          </w:p>
        </w:tc>
        <w:tc>
          <w:tcPr>
            <w:tcW w:type="dxa" w:w="200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pPr>
              <w:jc w:val="center"/>
            </w:pPr>
            <w:r>
              <w:rPr>
                <w:rFonts w:ascii="Arial" w:cs="Arial" w:eastAsia="Arial" w:hAnsi="Arial"/>
                <w:b/>
                <w:bCs/>
                <w:color w:val="2E5FA3"/>
                <w:sz w:val="21"/>
                <w:szCs w:val="21"/>
              </w:rPr>
              <w:t xml:space="preserve">25%</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r>
              <w:rPr>
                <w:rFonts w:ascii="Arial" w:cs="Arial" w:eastAsia="Arial" w:hAnsi="Arial"/>
                <w:b/>
                <w:bCs/>
                <w:sz w:val="20"/>
                <w:szCs w:val="20"/>
              </w:rPr>
              <w:t xml:space="preserve">Formatting Consistency</w:t>
            </w:r>
          </w:p>
        </w:tc>
        <w:tc>
          <w:tcPr>
            <w:tcW w:type="dxa" w:w="4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r>
              <w:rPr>
                <w:rFonts w:ascii="Arial" w:cs="Arial" w:eastAsia="Arial" w:hAnsi="Arial"/>
                <w:sz w:val="20"/>
                <w:szCs w:val="20"/>
              </w:rPr>
              <w:t xml:space="preserve">Font uniformity, section spacing, bullet alignment, file format compliance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pPr>
              <w:jc w:val="center"/>
            </w:pPr>
            <w:r>
              <w:rPr>
                <w:rFonts w:ascii="Arial" w:cs="Arial" w:eastAsia="Arial" w:hAnsi="Arial"/>
                <w:b/>
                <w:bCs/>
                <w:color w:val="2E5FA3"/>
                <w:sz w:val="21"/>
                <w:szCs w:val="21"/>
              </w:rPr>
              <w:t xml:space="preserve">10%</w:t>
            </w:r>
          </w:p>
        </w:tc>
      </w:tr>
      <w:tr>
        <w:tc>
          <w:tcPr>
            <w:tcW w:type="dxa" w:w="280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r>
              <w:rPr>
                <w:rFonts w:ascii="Arial" w:cs="Arial" w:eastAsia="Arial" w:hAnsi="Arial"/>
                <w:b/>
                <w:bCs/>
                <w:sz w:val="20"/>
                <w:szCs w:val="20"/>
              </w:rPr>
              <w:t xml:space="preserve">Accuracy Signals</w:t>
            </w:r>
          </w:p>
        </w:tc>
        <w:tc>
          <w:tcPr>
            <w:tcW w:type="dxa" w:w="456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r>
              <w:rPr>
                <w:rFonts w:ascii="Arial" w:cs="Arial" w:eastAsia="Arial" w:hAnsi="Arial"/>
                <w:sz w:val="20"/>
                <w:szCs w:val="20"/>
              </w:rPr>
              <w:t xml:space="preserve">Date logic validation, institution name recognition, GPA range plausibility</w:t>
            </w:r>
          </w:p>
        </w:tc>
        <w:tc>
          <w:tcPr>
            <w:tcW w:type="dxa" w:w="200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pPr>
              <w:jc w:val="center"/>
            </w:pPr>
            <w:r>
              <w:rPr>
                <w:rFonts w:ascii="Arial" w:cs="Arial" w:eastAsia="Arial" w:hAnsi="Arial"/>
                <w:b/>
                <w:bCs/>
                <w:color w:val="2E5FA3"/>
                <w:sz w:val="21"/>
                <w:szCs w:val="21"/>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r>
              <w:rPr>
                <w:rFonts w:ascii="Arial" w:cs="Arial" w:eastAsia="Arial" w:hAnsi="Arial"/>
                <w:b/>
                <w:bCs/>
                <w:sz w:val="20"/>
                <w:szCs w:val="20"/>
              </w:rPr>
              <w:t xml:space="preserve">ATS Compatibility</w:t>
            </w:r>
          </w:p>
        </w:tc>
        <w:tc>
          <w:tcPr>
            <w:tcW w:type="dxa" w:w="4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r>
              <w:rPr>
                <w:rFonts w:ascii="Arial" w:cs="Arial" w:eastAsia="Arial" w:hAnsi="Arial"/>
                <w:sz w:val="20"/>
                <w:szCs w:val="20"/>
              </w:rPr>
              <w:t xml:space="preserve">Absence of tables, images, headers/footers that break ATS parsers; clean text extraction score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pPr>
              <w:jc w:val="center"/>
            </w:pPr>
            <w:r>
              <w:rPr>
                <w:rFonts w:ascii="Arial" w:cs="Arial" w:eastAsia="Arial" w:hAnsi="Arial"/>
                <w:b/>
                <w:bCs/>
                <w:color w:val="2E5FA3"/>
                <w:sz w:val="21"/>
                <w:szCs w:val="21"/>
              </w:rPr>
              <w:t xml:space="preserve">10%</w:t>
            </w:r>
          </w:p>
        </w:tc>
      </w:tr>
    </w:tbl>
    <w:p>
      <w:pPr>
        <w:spacing w:before="120" w:after="0"/>
      </w:pPr>
      <w:r>
        <w:t xml:space="preserve"/>
      </w:r>
    </w:p>
    <w:p>
      <w:pPr>
        <w:spacing w:before="200" w:after="100"/>
      </w:pPr>
      <w:r>
        <w:rPr>
          <w:rFonts w:ascii="Arial" w:cs="Arial" w:eastAsia="Arial" w:hAnsi="Arial"/>
          <w:b/>
          <w:bCs/>
          <w:color w:val="1B3A6B"/>
          <w:sz w:val="24"/>
          <w:szCs w:val="24"/>
        </w:rPr>
        <w:t xml:space="preserve">B. Version Control &amp; Improvement Tracking</w:t>
      </w:r>
    </w:p>
    <w:p>
      <w:pPr>
        <w:spacing w:before="80" w:after="80"/>
        <w:jc w:val="both"/>
      </w:pPr>
      <w:r>
        <w:rPr>
          <w:rFonts w:ascii="Arial" w:cs="Arial" w:eastAsia="Arial" w:hAnsi="Arial"/>
          <w:sz w:val="22"/>
          <w:szCs w:val="22"/>
        </w:rPr>
        <w:t xml:space="preserve">Every resume submission creates a new versioned entry linked to the student profile. The system tracks:</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Total number of resume versions submitted over time.</w:t>
      </w:r>
    </w:p>
    <w:p>
      <w:pPr>
        <w:pStyle w:val="ListParagraph"/>
        <w:numPr>
          <w:ilvl w:val="0"/>
          <w:numId w:val="2"/>
        </w:numPr>
        <w:spacing w:before="60" w:after="60"/>
      </w:pPr>
      <w:r>
        <w:rPr>
          <w:rFonts w:ascii="Arial" w:cs="Arial" w:eastAsia="Arial" w:hAnsi="Arial"/>
          <w:sz w:val="22"/>
          <w:szCs w:val="22"/>
        </w:rPr>
        <w:t xml:space="preserve">RQS trajectory chart: score for each version plotted against submission date.</w:t>
      </w:r>
    </w:p>
    <w:p>
      <w:pPr>
        <w:pStyle w:val="ListParagraph"/>
        <w:numPr>
          <w:ilvl w:val="0"/>
          <w:numId w:val="2"/>
        </w:numPr>
        <w:spacing w:before="60" w:after="60"/>
      </w:pPr>
      <w:r>
        <w:rPr>
          <w:rFonts w:ascii="Arial" w:cs="Arial" w:eastAsia="Arial" w:hAnsi="Arial"/>
          <w:sz w:val="22"/>
          <w:szCs w:val="22"/>
        </w:rPr>
        <w:t xml:space="preserve">Delta analysis between consecutive versions: which dimensions improved, which regressed, and by how much.</w:t>
      </w:r>
    </w:p>
    <w:p>
      <w:pPr>
        <w:pStyle w:val="ListParagraph"/>
        <w:numPr>
          <w:ilvl w:val="0"/>
          <w:numId w:val="2"/>
        </w:numPr>
        <w:spacing w:before="60" w:after="60"/>
      </w:pPr>
      <w:r>
        <w:rPr>
          <w:rFonts w:ascii="Arial" w:cs="Arial" w:eastAsia="Arial" w:hAnsi="Arial"/>
          <w:sz w:val="22"/>
          <w:szCs w:val="22"/>
        </w:rPr>
        <w:t xml:space="preserve">Time-to-improvement metric: average days between submissions with meaningful RQS gain (defined as 5+ points).</w:t>
      </w:r>
    </w:p>
    <w:p>
      <w:pPr>
        <w:spacing w:before="80" w:after="0"/>
      </w:pPr>
      <w:r>
        <w:t xml:space="preserve"/>
      </w:r>
    </w:p>
    <w:p>
      <w:pPr>
        <w:spacing w:before="80" w:after="80"/>
        <w:jc w:val="both"/>
      </w:pPr>
      <w:r>
        <w:rPr>
          <w:rFonts w:ascii="Arial" w:cs="Arial" w:eastAsia="Arial" w:hAnsi="Arial"/>
          <w:sz w:val="22"/>
          <w:szCs w:val="22"/>
        </w:rPr>
        <w:t xml:space="preserve">This version history is immutable — students cannot delete past versions. This design ensures honest tracking and provides counselors a complete picture of the candidate's evolution, which is itself a signal of work ethic and self-improvement drive.</w:t>
      </w:r>
    </w:p>
    <w:p>
      <w:pPr>
        <w:spacing w:before="80" w:after="0"/>
      </w:pPr>
      <w:r>
        <w:t xml:space="preserve"/>
      </w:r>
    </w:p>
    <w:p>
      <w:pPr>
        <w:spacing w:before="200" w:after="100"/>
      </w:pPr>
      <w:r>
        <w:rPr>
          <w:rFonts w:ascii="Arial" w:cs="Arial" w:eastAsia="Arial" w:hAnsi="Arial"/>
          <w:b/>
          <w:bCs/>
          <w:color w:val="1B3A6B"/>
          <w:sz w:val="24"/>
          <w:szCs w:val="24"/>
        </w:rPr>
        <w:t xml:space="preserve">C. Role-Targeted Resume Gap Analysis</w:t>
      </w:r>
    </w:p>
    <w:p>
      <w:pPr>
        <w:spacing w:before="80" w:after="80"/>
        <w:jc w:val="both"/>
      </w:pPr>
      <w:r>
        <w:rPr>
          <w:rFonts w:ascii="Arial" w:cs="Arial" w:eastAsia="Arial" w:hAnsi="Arial"/>
          <w:sz w:val="22"/>
          <w:szCs w:val="22"/>
        </w:rPr>
        <w:t xml:space="preserve">Students select target job roles or industries from a structured taxonomy. The system then:</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Retrieves the canonical skill set, keyword clusters, and experience expectations for the selected role from the platform's job description database.</w:t>
      </w:r>
    </w:p>
    <w:p>
      <w:pPr>
        <w:pStyle w:val="ListParagraph"/>
        <w:numPr>
          <w:ilvl w:val="0"/>
          <w:numId w:val="2"/>
        </w:numPr>
        <w:spacing w:before="60" w:after="60"/>
      </w:pPr>
      <w:r>
        <w:rPr>
          <w:rFonts w:ascii="Arial" w:cs="Arial" w:eastAsia="Arial" w:hAnsi="Arial"/>
          <w:sz w:val="22"/>
          <w:szCs w:val="22"/>
        </w:rPr>
        <w:t xml:space="preserve">Compares the student's resume content against this role profile and generates a Role Alignment Gap Report.</w:t>
      </w:r>
    </w:p>
    <w:p>
      <w:pPr>
        <w:pStyle w:val="ListParagraph"/>
        <w:numPr>
          <w:ilvl w:val="0"/>
          <w:numId w:val="2"/>
        </w:numPr>
        <w:spacing w:before="60" w:after="60"/>
      </w:pPr>
      <w:r>
        <w:rPr>
          <w:rFonts w:ascii="Arial" w:cs="Arial" w:eastAsia="Arial" w:hAnsi="Arial"/>
          <w:sz w:val="22"/>
          <w:szCs w:val="22"/>
        </w:rPr>
        <w:t xml:space="preserve">Highlights missing keywords, absent sections, and weak quantification areas specific to the target role.</w:t>
      </w:r>
    </w:p>
    <w:p>
      <w:pPr>
        <w:pStyle w:val="ListParagraph"/>
        <w:numPr>
          <w:ilvl w:val="0"/>
          <w:numId w:val="2"/>
        </w:numPr>
        <w:spacing w:before="60" w:after="60"/>
      </w:pPr>
      <w:r>
        <w:rPr>
          <w:rFonts w:ascii="Arial" w:cs="Arial" w:eastAsia="Arial" w:hAnsi="Arial"/>
          <w:sz w:val="22"/>
          <w:szCs w:val="22"/>
        </w:rPr>
        <w:t xml:space="preserve">Provides prioritized recommendations: items are ranked by expected impact on role alignment score if addressed.</w:t>
      </w:r>
    </w:p>
    <w:p>
      <w:pPr>
        <w:spacing w:before="80" w:after="0"/>
      </w:pPr>
      <w:r>
        <w:t xml:space="preserve"/>
      </w:r>
    </w:p>
    <w:p>
      <w:pPr>
        <w:spacing w:before="200" w:after="100"/>
      </w:pPr>
      <w:r>
        <w:rPr>
          <w:rFonts w:ascii="Arial" w:cs="Arial" w:eastAsia="Arial" w:hAnsi="Arial"/>
          <w:b/>
          <w:bCs/>
          <w:color w:val="1B3A6B"/>
          <w:sz w:val="24"/>
          <w:szCs w:val="24"/>
        </w:rPr>
        <w:t xml:space="preserve">D. Counselor Annotation Workflow</w:t>
      </w:r>
    </w:p>
    <w:p>
      <w:pPr>
        <w:spacing w:before="80" w:after="80"/>
        <w:jc w:val="both"/>
      </w:pPr>
      <w:r>
        <w:rPr>
          <w:rFonts w:ascii="Arial" w:cs="Arial" w:eastAsia="Arial" w:hAnsi="Arial"/>
          <w:sz w:val="22"/>
          <w:szCs w:val="22"/>
        </w:rPr>
        <w:t xml:space="preserve">Career counselors access a dedicated review interface where they can:</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View the latest resume version alongside its RQS breakdown and role alignment gap report.</w:t>
      </w:r>
    </w:p>
    <w:p>
      <w:pPr>
        <w:pStyle w:val="ListParagraph"/>
        <w:numPr>
          <w:ilvl w:val="0"/>
          <w:numId w:val="2"/>
        </w:numPr>
        <w:spacing w:before="60" w:after="60"/>
      </w:pPr>
      <w:r>
        <w:rPr>
          <w:rFonts w:ascii="Arial" w:cs="Arial" w:eastAsia="Arial" w:hAnsi="Arial"/>
          <w:sz w:val="22"/>
          <w:szCs w:val="22"/>
        </w:rPr>
        <w:t xml:space="preserve">Add inline annotations linked to specific resume sections (not full free-text replacement, but structured comment types: Improve, Remove, Add, Quantify, Reformat).</w:t>
      </w:r>
    </w:p>
    <w:p>
      <w:pPr>
        <w:pStyle w:val="ListParagraph"/>
        <w:numPr>
          <w:ilvl w:val="0"/>
          <w:numId w:val="2"/>
        </w:numPr>
        <w:spacing w:before="60" w:after="60"/>
      </w:pPr>
      <w:r>
        <w:rPr>
          <w:rFonts w:ascii="Arial" w:cs="Arial" w:eastAsia="Arial" w:hAnsi="Arial"/>
          <w:sz w:val="22"/>
          <w:szCs w:val="22"/>
        </w:rPr>
        <w:t xml:space="preserve">Set a review status: Pending Review, Reviewed – Action Required, Approved for Submission.</w:t>
      </w:r>
    </w:p>
    <w:p>
      <w:pPr>
        <w:pStyle w:val="ListParagraph"/>
        <w:numPr>
          <w:ilvl w:val="0"/>
          <w:numId w:val="2"/>
        </w:numPr>
        <w:spacing w:before="60" w:after="60"/>
      </w:pPr>
      <w:r>
        <w:rPr>
          <w:rFonts w:ascii="Arial" w:cs="Arial" w:eastAsia="Arial" w:hAnsi="Arial"/>
          <w:sz w:val="22"/>
          <w:szCs w:val="22"/>
        </w:rPr>
        <w:t xml:space="preserve">Track counselor response time — a platform-level SLA metric for institutional accountability.</w:t>
      </w:r>
    </w:p>
    <w:p>
      <w:pPr>
        <w:spacing w:before="80" w:after="0"/>
      </w:pPr>
      <w:r>
        <w:t xml:space="preserve"/>
      </w:r>
    </w:p>
    <w:p>
      <w:pPr>
        <w:spacing w:before="80" w:after="80"/>
        <w:jc w:val="both"/>
      </w:pPr>
      <w:r>
        <w:rPr>
          <w:rFonts w:ascii="Arial" w:cs="Arial" w:eastAsia="Arial" w:hAnsi="Arial"/>
          <w:sz w:val="22"/>
          <w:szCs w:val="22"/>
        </w:rPr>
        <w:t xml:space="preserve">Students receive a notification when a counselor completes a review. The annotation is displayed in context directly on the resume view, with the counselor's initials and timestamp, maintaining a professional review audit trail.</w:t>
      </w:r>
    </w:p>
    <w:p>
      <w:pPr>
        <w:spacing w:before="120" w:after="0"/>
      </w:pPr>
      <w:r>
        <w:t xml:space="preserve"/>
      </w:r>
    </w:p>
    <w:p>
      <w:pPr>
        <w:pStyle w:val="Heading2"/>
        <w:spacing w:before="280" w:after="140"/>
      </w:pPr>
      <w:r>
        <w:rPr>
          <w:rFonts w:ascii="Arial" w:cs="Arial" w:eastAsia="Arial" w:hAnsi="Arial"/>
          <w:b/>
          <w:bCs/>
          <w:color w:val="2E5FA3"/>
          <w:sz w:val="28"/>
          <w:szCs w:val="28"/>
        </w:rPr>
        <w:t xml:space="preserve">2.3  Integration with ATS and Employer Systems</w:t>
      </w:r>
    </w:p>
    <w:p>
      <w:pPr>
        <w:spacing w:before="80" w:after="80"/>
        <w:jc w:val="both"/>
      </w:pPr>
      <w:r>
        <w:rPr>
          <w:rFonts w:ascii="Arial" w:cs="Arial" w:eastAsia="Arial" w:hAnsi="Arial"/>
          <w:sz w:val="22"/>
          <w:szCs w:val="22"/>
        </w:rPr>
        <w:t xml:space="preserve">Resume profiles that achieve an RQS of 80 or above and a role alignment score of 75 or above are automatically flagged as employer-ready. These resumes are eligible for:</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Direct export to partner employer ATS systems via the platform's API integration layer.</w:t>
      </w:r>
    </w:p>
    <w:p>
      <w:pPr>
        <w:pStyle w:val="ListParagraph"/>
        <w:numPr>
          <w:ilvl w:val="0"/>
          <w:numId w:val="2"/>
        </w:numPr>
        <w:spacing w:before="60" w:after="60"/>
      </w:pPr>
      <w:r>
        <w:rPr>
          <w:rFonts w:ascii="Arial" w:cs="Arial" w:eastAsia="Arial" w:hAnsi="Arial"/>
          <w:sz w:val="22"/>
          <w:szCs w:val="22"/>
        </w:rPr>
        <w:t xml:space="preserve">Inclusion in the institution's talent showcase pool visible to recruiting partners.</w:t>
      </w:r>
    </w:p>
    <w:p>
      <w:pPr>
        <w:pStyle w:val="ListParagraph"/>
        <w:numPr>
          <w:ilvl w:val="0"/>
          <w:numId w:val="2"/>
        </w:numPr>
        <w:spacing w:before="60" w:after="60"/>
      </w:pPr>
      <w:r>
        <w:rPr>
          <w:rFonts w:ascii="Arial" w:cs="Arial" w:eastAsia="Arial" w:hAnsi="Arial"/>
          <w:sz w:val="22"/>
          <w:szCs w:val="22"/>
        </w:rPr>
        <w:t xml:space="preserve">Automated shortlisting for matched job postings without re-uploading.</w:t>
      </w:r>
    </w:p>
    <w:p>
      <w:pPr>
        <w:spacing w:before="120" w:after="0"/>
      </w:pPr>
      <w:r>
        <w:t xml:space="preserve"/>
      </w:r>
    </w:p>
    <w:p>
      <w:pPr>
        <w:pStyle w:val="Heading2"/>
        <w:spacing w:before="280" w:after="140"/>
      </w:pPr>
      <w:r>
        <w:rPr>
          <w:rFonts w:ascii="Arial" w:cs="Arial" w:eastAsia="Arial" w:hAnsi="Arial"/>
          <w:b/>
          <w:bCs/>
          <w:color w:val="2E5FA3"/>
          <w:sz w:val="28"/>
          <w:szCs w:val="28"/>
        </w:rPr>
        <w:t xml:space="preserve">2.4  Data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1F9" w:val="clear"/>
            <w:tcMar>
              <w:top w:type="dxa" w:w="100"/>
              <w:left w:type="dxa" w:w="160"/>
              <w:bottom w:type="dxa" w:w="100"/>
              <w:right w:type="dxa" w:w="120"/>
            </w:tcMar>
          </w:tcPr>
          <w:p>
            <w:r>
              <w:rPr>
                <w:rFonts w:ascii="Arial" w:cs="Arial" w:eastAsia="Arial" w:hAnsi="Arial"/>
                <w:b/>
                <w:bCs/>
                <w:color w:val="1B3A6B"/>
                <w:sz w:val="21"/>
                <w:szCs w:val="21"/>
              </w:rPr>
              <w:t xml:space="preserve">Primary Inputs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PDF/DOCX resume uploads, target role selections, job description keyword database</w:t>
            </w:r>
          </w:p>
        </w:tc>
      </w:tr>
      <w:tr>
        <w:tc>
          <w:tcPr>
            <w:tcW w:type="dxa" w:w="2800"/>
            <w:tcBorders>
              <w:top w:val="single" w:color="CCCCCC" w:sz="1"/>
              <w:left w:val="single" w:color="CCCCCC" w:sz="1"/>
              <w:bottom w:val="single" w:color="CCCCCC" w:sz="1"/>
              <w:right w:val="single" w:color="CCCCCC" w:sz="1"/>
            </w:tcBorders>
            <w:shd w:fill="F5F8FD" w:val="clear"/>
            <w:tcMar>
              <w:top w:type="dxa" w:w="100"/>
              <w:left w:type="dxa" w:w="160"/>
              <w:bottom w:type="dxa" w:w="100"/>
              <w:right w:type="dxa" w:w="120"/>
            </w:tcMar>
          </w:tcPr>
          <w:p>
            <w:r>
              <w:rPr>
                <w:rFonts w:ascii="Arial" w:cs="Arial" w:eastAsia="Arial" w:hAnsi="Arial"/>
                <w:b/>
                <w:bCs/>
                <w:color w:val="1B3A6B"/>
                <w:sz w:val="21"/>
                <w:szCs w:val="21"/>
              </w:rPr>
              <w:t xml:space="preserve">Analysis Engine</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60"/>
              <w:bottom w:type="dxa" w:w="100"/>
              <w:right w:type="dxa" w:w="120"/>
            </w:tcMar>
          </w:tcPr>
          <w:p>
            <w:r>
              <w:rPr>
                <w:rFonts w:ascii="Arial" w:cs="Arial" w:eastAsia="Arial" w:hAnsi="Arial"/>
                <w:sz w:val="21"/>
                <w:szCs w:val="21"/>
              </w:rPr>
              <w:t xml:space="preserve">Rule-based parser with keyword extraction, section detection, and quantification scoring</w:t>
            </w:r>
          </w:p>
        </w:tc>
      </w:tr>
      <w:tr>
        <w:tc>
          <w:tcPr>
            <w:tcW w:type="dxa" w:w="2800"/>
            <w:tcBorders>
              <w:top w:val="single" w:color="CCCCCC" w:sz="1"/>
              <w:left w:val="single" w:color="CCCCCC" w:sz="1"/>
              <w:bottom w:val="single" w:color="CCCCCC" w:sz="1"/>
              <w:right w:val="single" w:color="CCCCCC" w:sz="1"/>
            </w:tcBorders>
            <w:shd w:fill="EBF1F9" w:val="clear"/>
            <w:tcMar>
              <w:top w:type="dxa" w:w="100"/>
              <w:left w:type="dxa" w:w="160"/>
              <w:bottom w:type="dxa" w:w="100"/>
              <w:right w:type="dxa" w:w="120"/>
            </w:tcMar>
          </w:tcPr>
          <w:p>
            <w:r>
              <w:rPr>
                <w:rFonts w:ascii="Arial" w:cs="Arial" w:eastAsia="Arial" w:hAnsi="Arial"/>
                <w:b/>
                <w:bCs/>
                <w:color w:val="1B3A6B"/>
                <w:sz w:val="21"/>
                <w:szCs w:val="21"/>
              </w:rPr>
              <w:t xml:space="preserve">Version Storage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Immutable versioned document store with metadata: submission date, RQS score, counselor status</w:t>
            </w:r>
          </w:p>
        </w:tc>
      </w:tr>
      <w:tr>
        <w:tc>
          <w:tcPr>
            <w:tcW w:type="dxa" w:w="2800"/>
            <w:tcBorders>
              <w:top w:val="single" w:color="CCCCCC" w:sz="1"/>
              <w:left w:val="single" w:color="CCCCCC" w:sz="1"/>
              <w:bottom w:val="single" w:color="CCCCCC" w:sz="1"/>
              <w:right w:val="single" w:color="CCCCCC" w:sz="1"/>
            </w:tcBorders>
            <w:shd w:fill="F5F8FD" w:val="clear"/>
            <w:tcMar>
              <w:top w:type="dxa" w:w="100"/>
              <w:left w:type="dxa" w:w="160"/>
              <w:bottom w:type="dxa" w:w="100"/>
              <w:right w:type="dxa" w:w="120"/>
            </w:tcMar>
          </w:tcPr>
          <w:p>
            <w:r>
              <w:rPr>
                <w:rFonts w:ascii="Arial" w:cs="Arial" w:eastAsia="Arial" w:hAnsi="Arial"/>
                <w:b/>
                <w:bCs/>
                <w:color w:val="1B3A6B"/>
                <w:sz w:val="21"/>
                <w:szCs w:val="21"/>
              </w:rPr>
              <w:t xml:space="preserve">Integration Points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60"/>
              <w:bottom w:type="dxa" w:w="100"/>
              <w:right w:type="dxa" w:w="120"/>
            </w:tcMar>
          </w:tcPr>
          <w:p>
            <w:r>
              <w:rPr>
                <w:rFonts w:ascii="Arial" w:cs="Arial" w:eastAsia="Arial" w:hAnsi="Arial"/>
                <w:sz w:val="21"/>
                <w:szCs w:val="21"/>
              </w:rPr>
              <w:t xml:space="preserve">Feature K.1 (IRI domain: Resume Weight), K.4 (Career Reports), K.5 (Employer Analytics)</w:t>
            </w:r>
          </w:p>
        </w:tc>
      </w:tr>
      <w:tr>
        <w:tc>
          <w:tcPr>
            <w:tcW w:type="dxa" w:w="2800"/>
            <w:tcBorders>
              <w:top w:val="single" w:color="CCCCCC" w:sz="1"/>
              <w:left w:val="single" w:color="CCCCCC" w:sz="1"/>
              <w:bottom w:val="single" w:color="CCCCCC" w:sz="1"/>
              <w:right w:val="single" w:color="CCCCCC" w:sz="1"/>
            </w:tcBorders>
            <w:shd w:fill="EBF1F9" w:val="clear"/>
            <w:tcMar>
              <w:top w:type="dxa" w:w="100"/>
              <w:left w:type="dxa" w:w="160"/>
              <w:bottom w:type="dxa" w:w="100"/>
              <w:right w:type="dxa" w:w="120"/>
            </w:tcMar>
          </w:tcPr>
          <w:p>
            <w:r>
              <w:rPr>
                <w:rFonts w:ascii="Arial" w:cs="Arial" w:eastAsia="Arial" w:hAnsi="Arial"/>
                <w:b/>
                <w:bCs/>
                <w:color w:val="1B3A6B"/>
                <w:sz w:val="21"/>
                <w:szCs w:val="21"/>
              </w:rPr>
              <w:t xml:space="preserve">Compliance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Resumes stored with access control; employers only access employer-ready flagged resumes with student consent</w:t>
            </w:r>
          </w:p>
        </w:tc>
      </w:tr>
    </w:tbl>
    <w:p>
      <w:r>
        <w:br w:type="page"/>
      </w:r>
    </w:p>
    <w:p>
      <w:pPr>
        <w:pBdr>
          <w:left w:val="single" w:color="2E5FA3" w:sz="24" w:space="12"/>
        </w:pBdr>
        <w:spacing w:before="400" w:after="160"/>
        <w:ind w:left="360"/>
      </w:pPr>
      <w:r>
        <w:rPr>
          <w:rFonts w:ascii="Arial" w:cs="Arial" w:eastAsia="Arial" w:hAnsi="Arial"/>
          <w:b/>
          <w:bCs/>
          <w:color w:val="2E5FA3"/>
          <w:sz w:val="32"/>
          <w:szCs w:val="32"/>
        </w:rPr>
        <w:t xml:space="preserve">Feature K.3: </w:t>
      </w:r>
      <w:r>
        <w:rPr>
          <w:rFonts w:ascii="Arial" w:cs="Arial" w:eastAsia="Arial" w:hAnsi="Arial"/>
          <w:b/>
          <w:bCs/>
          <w:color w:val="1B3A6B"/>
          <w:sz w:val="32"/>
          <w:szCs w:val="32"/>
        </w:rPr>
        <w:t xml:space="preserve">Interview Readiness Tracking</w:t>
      </w:r>
    </w:p>
    <w:p>
      <w:pPr>
        <w:spacing w:before="100" w:after="0"/>
      </w:pPr>
      <w:r>
        <w:t xml:space="preserve"/>
      </w:r>
    </w:p>
    <w:p>
      <w:pPr>
        <w:pStyle w:val="Heading2"/>
        <w:spacing w:before="280" w:after="140"/>
      </w:pPr>
      <w:r>
        <w:rPr>
          <w:rFonts w:ascii="Arial" w:cs="Arial" w:eastAsia="Arial" w:hAnsi="Arial"/>
          <w:b/>
          <w:bCs/>
          <w:color w:val="2E5FA3"/>
          <w:sz w:val="28"/>
          <w:szCs w:val="28"/>
        </w:rPr>
        <w:t xml:space="preserve">3.1  Purpose &amp; Strategic Value</w:t>
      </w:r>
    </w:p>
    <w:p>
      <w:pPr>
        <w:spacing w:before="80" w:after="80"/>
        <w:jc w:val="both"/>
      </w:pPr>
      <w:r>
        <w:rPr>
          <w:rFonts w:ascii="Arial" w:cs="Arial" w:eastAsia="Arial" w:hAnsi="Arial"/>
          <w:sz w:val="22"/>
          <w:szCs w:val="22"/>
        </w:rPr>
        <w:t xml:space="preserve">Interview Readiness Tracking is the system that prepares, measures, and certifies a candidate's ability to perform across the diverse formats of modern hiring interviews. It covers technical interviews, behavioral interviews, group discussions (including the Automated Voice GD system described in the platform's core documentation), case interviews, and HR rounds.</w:t>
      </w:r>
    </w:p>
    <w:p>
      <w:pPr>
        <w:spacing w:before="80" w:after="0"/>
      </w:pPr>
      <w:r>
        <w:t xml:space="preserve"/>
      </w:r>
    </w:p>
    <w:p>
      <w:pPr>
        <w:spacing w:before="80" w:after="80"/>
        <w:jc w:val="both"/>
      </w:pPr>
      <w:r>
        <w:rPr>
          <w:rFonts w:ascii="Arial" w:cs="Arial" w:eastAsia="Arial" w:hAnsi="Arial"/>
          <w:sz w:val="22"/>
          <w:szCs w:val="22"/>
        </w:rPr>
        <w:t xml:space="preserve">The core design principle is identical to the GD system documented in the platform: replace subjective assessment with deterministic measurement. Interview preparation is not evaluated by asking 'how confident do you feel?' — it is evaluated by measuring completed practice sessions, accuracy rates, response quality scores, and behavioral pattern compliance across enforced simulation environments.</w:t>
      </w:r>
    </w:p>
    <w:p>
      <w:pPr>
        <w:spacing w:before="80" w:after="0"/>
      </w:pPr>
      <w:r>
        <w:t xml:space="preserve"/>
      </w:r>
    </w:p>
    <w:p>
      <w:pPr>
        <w:pStyle w:val="Heading2"/>
        <w:spacing w:before="280" w:after="140"/>
      </w:pPr>
      <w:r>
        <w:rPr>
          <w:rFonts w:ascii="Arial" w:cs="Arial" w:eastAsia="Arial" w:hAnsi="Arial"/>
          <w:b/>
          <w:bCs/>
          <w:color w:val="2E5FA3"/>
          <w:sz w:val="28"/>
          <w:szCs w:val="28"/>
        </w:rPr>
        <w:t xml:space="preserve">3.2  Key Functional Components</w:t>
      </w:r>
    </w:p>
    <w:p>
      <w:pPr>
        <w:spacing w:before="60" w:after="0"/>
      </w:pPr>
      <w:r>
        <w:t xml:space="preserve"/>
      </w:r>
    </w:p>
    <w:p>
      <w:pPr>
        <w:spacing w:before="200" w:after="100"/>
      </w:pPr>
      <w:r>
        <w:rPr>
          <w:rFonts w:ascii="Arial" w:cs="Arial" w:eastAsia="Arial" w:hAnsi="Arial"/>
          <w:b/>
          <w:bCs/>
          <w:color w:val="1B3A6B"/>
          <w:sz w:val="24"/>
          <w:szCs w:val="24"/>
        </w:rPr>
        <w:t xml:space="preserve">A. Interview Readiness Index (InRI)</w:t>
      </w:r>
    </w:p>
    <w:p>
      <w:pPr>
        <w:spacing w:before="80" w:after="80"/>
        <w:jc w:val="both"/>
      </w:pPr>
      <w:r>
        <w:rPr>
          <w:rFonts w:ascii="Arial" w:cs="Arial" w:eastAsia="Arial" w:hAnsi="Arial"/>
          <w:sz w:val="22"/>
          <w:szCs w:val="22"/>
        </w:rPr>
        <w:t xml:space="preserve">An Interview Readiness Index (InRI, 0–100) is computed from four tracked sub-scores:</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Technical Interview Score (30%): Accuracy and completion rate across technical question banks. Topics are mapped to the student's target role domain.</w:t>
      </w:r>
    </w:p>
    <w:p>
      <w:pPr>
        <w:pStyle w:val="ListParagraph"/>
        <w:numPr>
          <w:ilvl w:val="0"/>
          <w:numId w:val="2"/>
        </w:numPr>
        <w:spacing w:before="60" w:after="60"/>
      </w:pPr>
      <w:r>
        <w:rPr>
          <w:rFonts w:ascii="Arial" w:cs="Arial" w:eastAsia="Arial" w:hAnsi="Arial"/>
          <w:sz w:val="22"/>
          <w:szCs w:val="22"/>
        </w:rPr>
        <w:t xml:space="preserve">Behavioral Interview Score (25%): Evaluated via structured response templates (STAR method compliance) in text-based mock sessions; assessed by rule-based completeness and keyword matching against best-practice answer frameworks.</w:t>
      </w:r>
    </w:p>
    <w:p>
      <w:pPr>
        <w:pStyle w:val="ListParagraph"/>
        <w:numPr>
          <w:ilvl w:val="0"/>
          <w:numId w:val="2"/>
        </w:numPr>
        <w:spacing w:before="60" w:after="60"/>
      </w:pPr>
      <w:r>
        <w:rPr>
          <w:rFonts w:ascii="Arial" w:cs="Arial" w:eastAsia="Arial" w:hAnsi="Arial"/>
          <w:sz w:val="22"/>
          <w:szCs w:val="22"/>
        </w:rPr>
        <w:t xml:space="preserve">Group Discussion Participation Score (25%): Pulled directly from the Automated Voice GD module (Section K.1 integrated component). Metrics include turn compliance rate, participation duration, and interrupt attempt penalty score.</w:t>
      </w:r>
    </w:p>
    <w:p>
      <w:pPr>
        <w:pStyle w:val="ListParagraph"/>
        <w:numPr>
          <w:ilvl w:val="0"/>
          <w:numId w:val="2"/>
        </w:numPr>
        <w:spacing w:before="60" w:after="60"/>
      </w:pPr>
      <w:r>
        <w:rPr>
          <w:rFonts w:ascii="Arial" w:cs="Arial" w:eastAsia="Arial" w:hAnsi="Arial"/>
          <w:sz w:val="22"/>
          <w:szCs w:val="22"/>
        </w:rPr>
        <w:t xml:space="preserve">HR Round Readiness Score (20%): Completion rate of HR scenario modules, compensation discussion simulation exercises, and company research tasks.</w:t>
      </w:r>
    </w:p>
    <w:p>
      <w:pPr>
        <w:spacing w:before="80" w:after="0"/>
      </w:pPr>
      <w:r>
        <w:t xml:space="preserve"/>
      </w:r>
    </w:p>
    <w:p>
      <w:pPr>
        <w:spacing w:before="200" w:after="100"/>
      </w:pPr>
      <w:r>
        <w:rPr>
          <w:rFonts w:ascii="Arial" w:cs="Arial" w:eastAsia="Arial" w:hAnsi="Arial"/>
          <w:b/>
          <w:bCs/>
          <w:color w:val="1B3A6B"/>
          <w:sz w:val="24"/>
          <w:szCs w:val="24"/>
        </w:rPr>
        <w:t xml:space="preserve">B. Mock Interview Simulation Engine</w:t>
      </w:r>
    </w:p>
    <w:p>
      <w:pPr>
        <w:spacing w:before="80" w:after="80"/>
        <w:jc w:val="both"/>
      </w:pPr>
      <w:r>
        <w:rPr>
          <w:rFonts w:ascii="Arial" w:cs="Arial" w:eastAsia="Arial" w:hAnsi="Arial"/>
          <w:sz w:val="22"/>
          <w:szCs w:val="22"/>
        </w:rPr>
        <w:t xml:space="preserve">The mock interview module provides candidates with a structured practice environment that mirrors real hiring scenarios:</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Question Bank Architecture: Questions are organized by type (Technical, Behavioral, Situational, Case-Based), difficulty tier (Beginner, Intermediate, Advanced), and domain (Software Engineering, Finance, Marketing, Operations, etc.).</w:t>
      </w:r>
    </w:p>
    <w:p>
      <w:pPr>
        <w:pStyle w:val="ListParagraph"/>
        <w:numPr>
          <w:ilvl w:val="0"/>
          <w:numId w:val="2"/>
        </w:numPr>
        <w:spacing w:before="60" w:after="60"/>
      </w:pPr>
      <w:r>
        <w:rPr>
          <w:rFonts w:ascii="Arial" w:cs="Arial" w:eastAsia="Arial" w:hAnsi="Arial"/>
          <w:sz w:val="22"/>
          <w:szCs w:val="22"/>
        </w:rPr>
        <w:t xml:space="preserve">Timed Response Enforcement: Each question has a configurable time window. Responses submitted after the window are logged as overtime submissions and carry a time-compliance penalty.</w:t>
      </w:r>
    </w:p>
    <w:p>
      <w:pPr>
        <w:pStyle w:val="ListParagraph"/>
        <w:numPr>
          <w:ilvl w:val="0"/>
          <w:numId w:val="2"/>
        </w:numPr>
        <w:spacing w:before="60" w:after="60"/>
      </w:pPr>
      <w:r>
        <w:rPr>
          <w:rFonts w:ascii="Arial" w:cs="Arial" w:eastAsia="Arial" w:hAnsi="Arial"/>
          <w:sz w:val="22"/>
          <w:szCs w:val="22"/>
        </w:rPr>
        <w:t xml:space="preserve">Randomized Question Sets: Each mock session draws from a randomized subset of the question bank, preventing memorization of fixed question sequences.</w:t>
      </w:r>
    </w:p>
    <w:p>
      <w:pPr>
        <w:pStyle w:val="ListParagraph"/>
        <w:numPr>
          <w:ilvl w:val="0"/>
          <w:numId w:val="2"/>
        </w:numPr>
        <w:spacing w:before="60" w:after="60"/>
      </w:pPr>
      <w:r>
        <w:rPr>
          <w:rFonts w:ascii="Arial" w:cs="Arial" w:eastAsia="Arial" w:hAnsi="Arial"/>
          <w:sz w:val="22"/>
          <w:szCs w:val="22"/>
        </w:rPr>
        <w:t xml:space="preserve">Forced Completion: Sessions cannot be paused or resumed midway. Partial session data is still captured and scored, discouraging abandonment gaming.</w:t>
      </w:r>
    </w:p>
    <w:p>
      <w:pPr>
        <w:spacing w:before="80" w:after="0"/>
      </w:pPr>
      <w:r>
        <w:t xml:space="preserve"/>
      </w:r>
    </w:p>
    <w:p>
      <w:pPr>
        <w:spacing w:before="200" w:after="100"/>
      </w:pPr>
      <w:r>
        <w:rPr>
          <w:rFonts w:ascii="Arial" w:cs="Arial" w:eastAsia="Arial" w:hAnsi="Arial"/>
          <w:b/>
          <w:bCs/>
          <w:color w:val="1B3A6B"/>
          <w:sz w:val="24"/>
          <w:szCs w:val="24"/>
        </w:rPr>
        <w:t xml:space="preserve">C. Automated Voice GD Integration</w:t>
      </w:r>
    </w:p>
    <w:p>
      <w:pPr>
        <w:spacing w:before="80" w:after="80"/>
        <w:jc w:val="both"/>
      </w:pPr>
      <w:r>
        <w:rPr>
          <w:rFonts w:ascii="Arial" w:cs="Arial" w:eastAsia="Arial" w:hAnsi="Arial"/>
          <w:sz w:val="22"/>
          <w:szCs w:val="22"/>
        </w:rPr>
        <w:t xml:space="preserve">The platform's Automated Voice Group Discussion (GD) system — which uses self-hosted Jitsi with rule-driven orchestration — feeds directly into the Interview Readiness module. Key data points consumed:</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Total turns completed vs. total turns allocated (Turn Completion Rate).</w:t>
      </w:r>
    </w:p>
    <w:p>
      <w:pPr>
        <w:pStyle w:val="ListParagraph"/>
        <w:numPr>
          <w:ilvl w:val="0"/>
          <w:numId w:val="2"/>
        </w:numPr>
        <w:spacing w:before="60" w:after="60"/>
      </w:pPr>
      <w:r>
        <w:rPr>
          <w:rFonts w:ascii="Arial" w:cs="Arial" w:eastAsia="Arial" w:hAnsi="Arial"/>
          <w:sz w:val="22"/>
          <w:szCs w:val="22"/>
        </w:rPr>
        <w:t xml:space="preserve">Average spoken duration per turn vs. allocated duration (Time Utilization Rate).</w:t>
      </w:r>
    </w:p>
    <w:p>
      <w:pPr>
        <w:pStyle w:val="ListParagraph"/>
        <w:numPr>
          <w:ilvl w:val="0"/>
          <w:numId w:val="2"/>
        </w:numPr>
        <w:spacing w:before="60" w:after="60"/>
      </w:pPr>
      <w:r>
        <w:rPr>
          <w:rFonts w:ascii="Arial" w:cs="Arial" w:eastAsia="Arial" w:hAnsi="Arial"/>
          <w:sz w:val="22"/>
          <w:szCs w:val="22"/>
        </w:rPr>
        <w:t xml:space="preserve">Interrupt attempt count — logged by the backend state machine as explicit behavioral data.</w:t>
      </w:r>
    </w:p>
    <w:p>
      <w:pPr>
        <w:pStyle w:val="ListParagraph"/>
        <w:numPr>
          <w:ilvl w:val="0"/>
          <w:numId w:val="2"/>
        </w:numPr>
        <w:spacing w:before="60" w:after="60"/>
      </w:pPr>
      <w:r>
        <w:rPr>
          <w:rFonts w:ascii="Arial" w:cs="Arial" w:eastAsia="Arial" w:hAnsi="Arial"/>
          <w:sz w:val="22"/>
          <w:szCs w:val="22"/>
        </w:rPr>
        <w:t xml:space="preserve">Silence-during-token events — flagged as engagement failures with configurable score impact.</w:t>
      </w:r>
    </w:p>
    <w:p>
      <w:pPr>
        <w:pStyle w:val="ListParagraph"/>
        <w:numPr>
          <w:ilvl w:val="0"/>
          <w:numId w:val="2"/>
        </w:numPr>
        <w:spacing w:before="60" w:after="60"/>
      </w:pPr>
      <w:r>
        <w:rPr>
          <w:rFonts w:ascii="Arial" w:cs="Arial" w:eastAsia="Arial" w:hAnsi="Arial"/>
          <w:sz w:val="22"/>
          <w:szCs w:val="22"/>
        </w:rPr>
        <w:t xml:space="preserve">Network drop instances — tracked separately from behavioral data to distinguish technical failures from avoidance behavior.</w:t>
      </w:r>
    </w:p>
    <w:p>
      <w:pPr>
        <w:spacing w:before="80" w:after="0"/>
      </w:pPr>
      <w:r>
        <w:t xml:space="preserve"/>
      </w:r>
    </w:p>
    <w:p>
      <w:pPr>
        <w:spacing w:before="80" w:after="80"/>
        <w:jc w:val="both"/>
      </w:pPr>
      <w:r>
        <w:rPr>
          <w:rFonts w:ascii="Arial" w:cs="Arial" w:eastAsia="Arial" w:hAnsi="Arial"/>
          <w:sz w:val="22"/>
          <w:szCs w:val="22"/>
        </w:rPr>
        <w:t xml:space="preserve">These GD metrics are non-subjective and fully auditable. They are stored in the student's Interview Readiness profile with session-level granularity, allowing counselors to review specific GD session performance rather than relying on aggregated averages.</w:t>
      </w:r>
    </w:p>
    <w:p>
      <w:pPr>
        <w:spacing w:before="80" w:after="0"/>
      </w:pPr>
      <w:r>
        <w:t xml:space="preserve"/>
      </w:r>
    </w:p>
    <w:p>
      <w:pPr>
        <w:spacing w:before="200" w:after="100"/>
      </w:pPr>
      <w:r>
        <w:rPr>
          <w:rFonts w:ascii="Arial" w:cs="Arial" w:eastAsia="Arial" w:hAnsi="Arial"/>
          <w:b/>
          <w:bCs/>
          <w:color w:val="1B3A6B"/>
          <w:sz w:val="24"/>
          <w:szCs w:val="24"/>
        </w:rPr>
        <w:t xml:space="preserve">D. Progress Timeline &amp; Certification Thresholds</w:t>
      </w:r>
    </w:p>
    <w:p>
      <w:pPr>
        <w:spacing w:before="80" w:after="80"/>
        <w:jc w:val="both"/>
      </w:pPr>
      <w:r>
        <w:rPr>
          <w:rFonts w:ascii="Arial" w:cs="Arial" w:eastAsia="Arial" w:hAnsi="Arial"/>
          <w:sz w:val="22"/>
          <w:szCs w:val="22"/>
        </w:rPr>
        <w:t xml:space="preserve">The Interview Readiness module tracks preparation progress through three certification bands:</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Basic Readiness (InRI 60–74): Student has completed foundational modules and is eligible for entry-level role screening rounds.</w:t>
      </w:r>
    </w:p>
    <w:p>
      <w:pPr>
        <w:pStyle w:val="ListParagraph"/>
        <w:numPr>
          <w:ilvl w:val="0"/>
          <w:numId w:val="2"/>
        </w:numPr>
        <w:spacing w:before="60" w:after="60"/>
      </w:pPr>
      <w:r>
        <w:rPr>
          <w:rFonts w:ascii="Arial" w:cs="Arial" w:eastAsia="Arial" w:hAnsi="Arial"/>
          <w:sz w:val="22"/>
          <w:szCs w:val="22"/>
        </w:rPr>
        <w:t xml:space="preserve">Advanced Readiness (InRI 75–89): Student has demonstrated consistent performance across all interview types and is eligible for mid-tier and competitive role applications.</w:t>
      </w:r>
    </w:p>
    <w:p>
      <w:pPr>
        <w:pStyle w:val="ListParagraph"/>
        <w:numPr>
          <w:ilvl w:val="0"/>
          <w:numId w:val="2"/>
        </w:numPr>
        <w:spacing w:before="60" w:after="60"/>
      </w:pPr>
      <w:r>
        <w:rPr>
          <w:rFonts w:ascii="Arial" w:cs="Arial" w:eastAsia="Arial" w:hAnsi="Arial"/>
          <w:sz w:val="22"/>
          <w:szCs w:val="22"/>
        </w:rPr>
        <w:t xml:space="preserve">Interview Certified (InRI 90–100): Student meets the highest preparation standard. Profile is surfaced to premium employer partners and high-priority placement opportunities.</w:t>
      </w:r>
    </w:p>
    <w:p>
      <w:pPr>
        <w:spacing w:before="80" w:after="0"/>
      </w:pPr>
      <w:r>
        <w:t xml:space="preserve"/>
      </w:r>
    </w:p>
    <w:p>
      <w:pPr>
        <w:spacing w:before="200" w:after="100"/>
      </w:pPr>
      <w:r>
        <w:rPr>
          <w:rFonts w:ascii="Arial" w:cs="Arial" w:eastAsia="Arial" w:hAnsi="Arial"/>
          <w:b/>
          <w:bCs/>
          <w:color w:val="1B3A6B"/>
          <w:sz w:val="24"/>
          <w:szCs w:val="24"/>
        </w:rPr>
        <w:t xml:space="preserve">E. Weakness Pattern Detection</w:t>
      </w:r>
    </w:p>
    <w:p>
      <w:pPr>
        <w:spacing w:before="80" w:after="80"/>
        <w:jc w:val="both"/>
      </w:pPr>
      <w:r>
        <w:rPr>
          <w:rFonts w:ascii="Arial" w:cs="Arial" w:eastAsia="Arial" w:hAnsi="Arial"/>
          <w:sz w:val="22"/>
          <w:szCs w:val="22"/>
        </w:rPr>
        <w:t xml:space="preserve">The system automatically identifies recurring weaknesses across multiple mock sessions:</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If a student consistently scores below threshold on behavioral questions related to conflict resolution, the system flags this pattern and recommends targeted content modules.</w:t>
      </w:r>
    </w:p>
    <w:p>
      <w:pPr>
        <w:pStyle w:val="ListParagraph"/>
        <w:numPr>
          <w:ilvl w:val="0"/>
          <w:numId w:val="2"/>
        </w:numPr>
        <w:spacing w:before="60" w:after="60"/>
      </w:pPr>
      <w:r>
        <w:rPr>
          <w:rFonts w:ascii="Arial" w:cs="Arial" w:eastAsia="Arial" w:hAnsi="Arial"/>
          <w:sz w:val="22"/>
          <w:szCs w:val="22"/>
        </w:rPr>
        <w:t xml:space="preserve">If technical scores for data structures show a negative trend despite repeated attempts, an escalation flag is sent to the assigned counselor.</w:t>
      </w:r>
    </w:p>
    <w:p>
      <w:pPr>
        <w:pStyle w:val="ListParagraph"/>
        <w:numPr>
          <w:ilvl w:val="0"/>
          <w:numId w:val="2"/>
        </w:numPr>
        <w:spacing w:before="60" w:after="60"/>
      </w:pPr>
      <w:r>
        <w:rPr>
          <w:rFonts w:ascii="Arial" w:cs="Arial" w:eastAsia="Arial" w:hAnsi="Arial"/>
          <w:sz w:val="22"/>
          <w:szCs w:val="22"/>
        </w:rPr>
        <w:t xml:space="preserve">If GD interrupt attempts occur in more than 50% of sessions, a professional conduct advisory is generated and added to the counselor dashboard.</w:t>
      </w:r>
    </w:p>
    <w:p>
      <w:pPr>
        <w:spacing w:before="120" w:after="0"/>
      </w:pPr>
      <w:r>
        <w:t xml:space="preserve"/>
      </w:r>
    </w:p>
    <w:p>
      <w:pPr>
        <w:pStyle w:val="Heading2"/>
        <w:spacing w:before="280" w:after="140"/>
      </w:pPr>
      <w:r>
        <w:rPr>
          <w:rFonts w:ascii="Arial" w:cs="Arial" w:eastAsia="Arial" w:hAnsi="Arial"/>
          <w:b/>
          <w:bCs/>
          <w:color w:val="2E5FA3"/>
          <w:sz w:val="28"/>
          <w:szCs w:val="28"/>
        </w:rPr>
        <w:t xml:space="preserve">3.3  Data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1F9" w:val="clear"/>
            <w:tcMar>
              <w:top w:type="dxa" w:w="100"/>
              <w:left w:type="dxa" w:w="160"/>
              <w:bottom w:type="dxa" w:w="100"/>
              <w:right w:type="dxa" w:w="120"/>
            </w:tcMar>
          </w:tcPr>
          <w:p>
            <w:r>
              <w:rPr>
                <w:rFonts w:ascii="Arial" w:cs="Arial" w:eastAsia="Arial" w:hAnsi="Arial"/>
                <w:b/>
                <w:bCs/>
                <w:color w:val="1B3A6B"/>
                <w:sz w:val="21"/>
                <w:szCs w:val="21"/>
              </w:rPr>
              <w:t xml:space="preserve">Primary Inputs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Mock session results, Voice GD module logs, HR scenario completion records</w:t>
            </w:r>
          </w:p>
        </w:tc>
      </w:tr>
      <w:tr>
        <w:tc>
          <w:tcPr>
            <w:tcW w:type="dxa" w:w="2800"/>
            <w:tcBorders>
              <w:top w:val="single" w:color="CCCCCC" w:sz="1"/>
              <w:left w:val="single" w:color="CCCCCC" w:sz="1"/>
              <w:bottom w:val="single" w:color="CCCCCC" w:sz="1"/>
              <w:right w:val="single" w:color="CCCCCC" w:sz="1"/>
            </w:tcBorders>
            <w:shd w:fill="F5F8FD" w:val="clear"/>
            <w:tcMar>
              <w:top w:type="dxa" w:w="100"/>
              <w:left w:type="dxa" w:w="160"/>
              <w:bottom w:type="dxa" w:w="100"/>
              <w:right w:type="dxa" w:w="120"/>
            </w:tcMar>
          </w:tcPr>
          <w:p>
            <w:r>
              <w:rPr>
                <w:rFonts w:ascii="Arial" w:cs="Arial" w:eastAsia="Arial" w:hAnsi="Arial"/>
                <w:b/>
                <w:bCs/>
                <w:color w:val="1B3A6B"/>
                <w:sz w:val="21"/>
                <w:szCs w:val="21"/>
              </w:rPr>
              <w:t xml:space="preserve">Scoring Logic</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60"/>
              <w:bottom w:type="dxa" w:w="100"/>
              <w:right w:type="dxa" w:w="120"/>
            </w:tcMar>
          </w:tcPr>
          <w:p>
            <w:r>
              <w:rPr>
                <w:rFonts w:ascii="Arial" w:cs="Arial" w:eastAsia="Arial" w:hAnsi="Arial"/>
                <w:sz w:val="21"/>
                <w:szCs w:val="21"/>
              </w:rPr>
              <w:t xml:space="preserve">Fully rule-based; no AI inference or confidence scoring; all formulas are documented and auditable</w:t>
            </w:r>
          </w:p>
        </w:tc>
      </w:tr>
      <w:tr>
        <w:tc>
          <w:tcPr>
            <w:tcW w:type="dxa" w:w="2800"/>
            <w:tcBorders>
              <w:top w:val="single" w:color="CCCCCC" w:sz="1"/>
              <w:left w:val="single" w:color="CCCCCC" w:sz="1"/>
              <w:bottom w:val="single" w:color="CCCCCC" w:sz="1"/>
              <w:right w:val="single" w:color="CCCCCC" w:sz="1"/>
            </w:tcBorders>
            <w:shd w:fill="EBF1F9" w:val="clear"/>
            <w:tcMar>
              <w:top w:type="dxa" w:w="100"/>
              <w:left w:type="dxa" w:w="160"/>
              <w:bottom w:type="dxa" w:w="100"/>
              <w:right w:type="dxa" w:w="120"/>
            </w:tcMar>
          </w:tcPr>
          <w:p>
            <w:r>
              <w:rPr>
                <w:rFonts w:ascii="Arial" w:cs="Arial" w:eastAsia="Arial" w:hAnsi="Arial"/>
                <w:b/>
                <w:bCs/>
                <w:color w:val="1B3A6B"/>
                <w:sz w:val="21"/>
                <w:szCs w:val="21"/>
              </w:rPr>
              <w:t xml:space="preserve">Session Immutability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Completed sessions are locked; scores cannot be edited post-submission</w:t>
            </w:r>
          </w:p>
        </w:tc>
      </w:tr>
      <w:tr>
        <w:tc>
          <w:tcPr>
            <w:tcW w:type="dxa" w:w="2800"/>
            <w:tcBorders>
              <w:top w:val="single" w:color="CCCCCC" w:sz="1"/>
              <w:left w:val="single" w:color="CCCCCC" w:sz="1"/>
              <w:bottom w:val="single" w:color="CCCCCC" w:sz="1"/>
              <w:right w:val="single" w:color="CCCCCC" w:sz="1"/>
            </w:tcBorders>
            <w:shd w:fill="F5F8FD" w:val="clear"/>
            <w:tcMar>
              <w:top w:type="dxa" w:w="100"/>
              <w:left w:type="dxa" w:w="160"/>
              <w:bottom w:type="dxa" w:w="100"/>
              <w:right w:type="dxa" w:w="120"/>
            </w:tcMar>
          </w:tcPr>
          <w:p>
            <w:r>
              <w:rPr>
                <w:rFonts w:ascii="Arial" w:cs="Arial" w:eastAsia="Arial" w:hAnsi="Arial"/>
                <w:b/>
                <w:bCs/>
                <w:color w:val="1B3A6B"/>
                <w:sz w:val="21"/>
                <w:szCs w:val="21"/>
              </w:rPr>
              <w:t xml:space="preserve">Integration Points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60"/>
              <w:bottom w:type="dxa" w:w="100"/>
              <w:right w:type="dxa" w:w="120"/>
            </w:tcMar>
          </w:tcPr>
          <w:p>
            <w:r>
              <w:rPr>
                <w:rFonts w:ascii="Arial" w:cs="Arial" w:eastAsia="Arial" w:hAnsi="Arial"/>
                <w:sz w:val="21"/>
                <w:szCs w:val="21"/>
              </w:rPr>
              <w:t xml:space="preserve">Feature K.1 (IRI domain: Interview Readiness), K.4 (Career Reports), K.5 (Employer Analytics), GD System</w:t>
            </w:r>
          </w:p>
        </w:tc>
      </w:tr>
      <w:tr>
        <w:tc>
          <w:tcPr>
            <w:tcW w:type="dxa" w:w="2800"/>
            <w:tcBorders>
              <w:top w:val="single" w:color="CCCCCC" w:sz="1"/>
              <w:left w:val="single" w:color="CCCCCC" w:sz="1"/>
              <w:bottom w:val="single" w:color="CCCCCC" w:sz="1"/>
              <w:right w:val="single" w:color="CCCCCC" w:sz="1"/>
            </w:tcBorders>
            <w:shd w:fill="EBF1F9" w:val="clear"/>
            <w:tcMar>
              <w:top w:type="dxa" w:w="100"/>
              <w:left w:type="dxa" w:w="160"/>
              <w:bottom w:type="dxa" w:w="100"/>
              <w:right w:type="dxa" w:w="120"/>
            </w:tcMar>
          </w:tcPr>
          <w:p>
            <w:r>
              <w:rPr>
                <w:rFonts w:ascii="Arial" w:cs="Arial" w:eastAsia="Arial" w:hAnsi="Arial"/>
                <w:b/>
                <w:bCs/>
                <w:color w:val="1B3A6B"/>
                <w:sz w:val="21"/>
                <w:szCs w:val="21"/>
              </w:rPr>
              <w:t xml:space="preserve">Employer Visibility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InRI score (not session detail) is visible to employers for students who have given consent</w:t>
            </w:r>
          </w:p>
        </w:tc>
      </w:tr>
    </w:tbl>
    <w:p>
      <w:pPr>
        <w:spacing w:before="120" w:after="0"/>
      </w:pPr>
      <w:r>
        <w:t xml:space="preserve"/>
      </w:r>
    </w:p>
    <w:p>
      <w:pPr>
        <w:pStyle w:val="Heading2"/>
        <w:spacing w:before="280" w:after="140"/>
      </w:pPr>
      <w:r>
        <w:rPr>
          <w:rFonts w:ascii="Arial" w:cs="Arial" w:eastAsia="Arial" w:hAnsi="Arial"/>
          <w:b/>
          <w:bCs/>
          <w:color w:val="2E5FA3"/>
          <w:sz w:val="28"/>
          <w:szCs w:val="28"/>
        </w:rPr>
        <w:t xml:space="preserve">3.4  User Stories</w:t>
      </w:r>
    </w:p>
    <w:p>
      <w:pPr>
        <w:pStyle w:val="ListParagraph"/>
        <w:numPr>
          <w:ilvl w:val="0"/>
          <w:numId w:val="2"/>
        </w:numPr>
        <w:spacing w:before="60" w:after="60"/>
      </w:pPr>
      <w:r>
        <w:rPr>
          <w:rFonts w:ascii="Arial" w:cs="Arial" w:eastAsia="Arial" w:hAnsi="Arial"/>
          <w:sz w:val="22"/>
          <w:szCs w:val="22"/>
        </w:rPr>
        <w:t xml:space="preserve">As a student, I want to know exactly which interview question categories are lowering my InRI, and get specific practice recommendations for those categories.</w:t>
      </w:r>
    </w:p>
    <w:p>
      <w:pPr>
        <w:pStyle w:val="ListParagraph"/>
        <w:numPr>
          <w:ilvl w:val="0"/>
          <w:numId w:val="2"/>
        </w:numPr>
        <w:spacing w:before="60" w:after="60"/>
      </w:pPr>
      <w:r>
        <w:rPr>
          <w:rFonts w:ascii="Arial" w:cs="Arial" w:eastAsia="Arial" w:hAnsi="Arial"/>
          <w:sz w:val="22"/>
          <w:szCs w:val="22"/>
        </w:rPr>
        <w:t xml:space="preserve">As a counselor, I want to see which students have not completed their minimum required mock sessions 2 weeks before placement opens, flagged automatically.</w:t>
      </w:r>
    </w:p>
    <w:p>
      <w:pPr>
        <w:pStyle w:val="ListParagraph"/>
        <w:numPr>
          <w:ilvl w:val="0"/>
          <w:numId w:val="2"/>
        </w:numPr>
        <w:spacing w:before="60" w:after="60"/>
      </w:pPr>
      <w:r>
        <w:rPr>
          <w:rFonts w:ascii="Arial" w:cs="Arial" w:eastAsia="Arial" w:hAnsi="Arial"/>
          <w:sz w:val="22"/>
          <w:szCs w:val="22"/>
        </w:rPr>
        <w:t xml:space="preserve">As an employer, I want to filter the student talent pool by InRI certification band so I can prioritize scheduling for the most prepared candidates.</w:t>
      </w:r>
    </w:p>
    <w:p>
      <w:r>
        <w:br w:type="page"/>
      </w:r>
    </w:p>
    <w:p>
      <w:pPr>
        <w:pBdr>
          <w:left w:val="single" w:color="2E5FA3" w:sz="24" w:space="12"/>
        </w:pBdr>
        <w:spacing w:before="400" w:after="160"/>
        <w:ind w:left="360"/>
      </w:pPr>
      <w:r>
        <w:rPr>
          <w:rFonts w:ascii="Arial" w:cs="Arial" w:eastAsia="Arial" w:hAnsi="Arial"/>
          <w:b/>
          <w:bCs/>
          <w:color w:val="2E5FA3"/>
          <w:sz w:val="32"/>
          <w:szCs w:val="32"/>
        </w:rPr>
        <w:t xml:space="preserve">Feature K.4: </w:t>
      </w:r>
      <w:r>
        <w:rPr>
          <w:rFonts w:ascii="Arial" w:cs="Arial" w:eastAsia="Arial" w:hAnsi="Arial"/>
          <w:b/>
          <w:bCs/>
          <w:color w:val="1B3A6B"/>
          <w:sz w:val="32"/>
          <w:szCs w:val="32"/>
        </w:rPr>
        <w:t xml:space="preserve">Career Recommendation Reports</w:t>
      </w:r>
    </w:p>
    <w:p>
      <w:pPr>
        <w:spacing w:before="100" w:after="0"/>
      </w:pPr>
      <w:r>
        <w:t xml:space="preserve"/>
      </w:r>
    </w:p>
    <w:p>
      <w:pPr>
        <w:pStyle w:val="Heading2"/>
        <w:spacing w:before="280" w:after="140"/>
      </w:pPr>
      <w:r>
        <w:rPr>
          <w:rFonts w:ascii="Arial" w:cs="Arial" w:eastAsia="Arial" w:hAnsi="Arial"/>
          <w:b/>
          <w:bCs/>
          <w:color w:val="2E5FA3"/>
          <w:sz w:val="28"/>
          <w:szCs w:val="28"/>
        </w:rPr>
        <w:t xml:space="preserve">4.1  Purpose &amp; Strategic Value</w:t>
      </w:r>
    </w:p>
    <w:p>
      <w:pPr>
        <w:spacing w:before="80" w:after="80"/>
        <w:jc w:val="both"/>
      </w:pPr>
      <w:r>
        <w:rPr>
          <w:rFonts w:ascii="Arial" w:cs="Arial" w:eastAsia="Arial" w:hAnsi="Arial"/>
          <w:sz w:val="22"/>
          <w:szCs w:val="22"/>
        </w:rPr>
        <w:t xml:space="preserve">Career Recommendation Reports transform accumulated student data — IRI scores, RQS history, InRI progression, behavioral patterns, assessment results, and domain preferences — into structured, actionable career guidance documents. These reports are generated automatically on a scheduled or on-demand basis and are designed to be consumed by three distinct audiences: the student, the career advisor, and the institution leadership.</w:t>
      </w:r>
    </w:p>
    <w:p>
      <w:pPr>
        <w:spacing w:before="80" w:after="0"/>
      </w:pPr>
      <w:r>
        <w:t xml:space="preserve"/>
      </w:r>
    </w:p>
    <w:p>
      <w:pPr>
        <w:spacing w:before="80" w:after="80"/>
        <w:jc w:val="both"/>
      </w:pPr>
      <w:r>
        <w:rPr>
          <w:rFonts w:ascii="Arial" w:cs="Arial" w:eastAsia="Arial" w:hAnsi="Arial"/>
          <w:sz w:val="22"/>
          <w:szCs w:val="22"/>
        </w:rPr>
        <w:t xml:space="preserve">Unlike generic career counseling tools that offer broad suggestions, this system generates recommendations that are grounded entirely in the student's own behavioral and performance data. Every recommendation is traceable to a specific data point — there is no inference without evidence.</w:t>
      </w:r>
    </w:p>
    <w:p>
      <w:pPr>
        <w:spacing w:before="80" w:after="0"/>
      </w:pPr>
      <w:r>
        <w:t xml:space="preserve"/>
      </w:r>
    </w:p>
    <w:p>
      <w:pPr>
        <w:pStyle w:val="Heading2"/>
        <w:spacing w:before="280" w:after="140"/>
      </w:pPr>
      <w:r>
        <w:rPr>
          <w:rFonts w:ascii="Arial" w:cs="Arial" w:eastAsia="Arial" w:hAnsi="Arial"/>
          <w:b/>
          <w:bCs/>
          <w:color w:val="2E5FA3"/>
          <w:sz w:val="28"/>
          <w:szCs w:val="28"/>
        </w:rPr>
        <w:t xml:space="preserve">4.2  Report Types</w:t>
      </w:r>
    </w:p>
    <w:p>
      <w:pPr>
        <w:spacing w:before="60" w:after="0"/>
      </w:pPr>
      <w:r>
        <w:t xml:space="preserve"/>
      </w:r>
    </w:p>
    <w:p>
      <w:pPr>
        <w:spacing w:before="200" w:after="100"/>
      </w:pPr>
      <w:r>
        <w:rPr>
          <w:rFonts w:ascii="Arial" w:cs="Arial" w:eastAsia="Arial" w:hAnsi="Arial"/>
          <w:b/>
          <w:bCs/>
          <w:color w:val="1B3A6B"/>
          <w:sz w:val="24"/>
          <w:szCs w:val="24"/>
        </w:rPr>
        <w:t xml:space="preserve">A. Individual Student Report (Student-Facing)</w:t>
      </w:r>
    </w:p>
    <w:p>
      <w:pPr>
        <w:spacing w:before="80" w:after="80"/>
        <w:jc w:val="both"/>
      </w:pPr>
      <w:r>
        <w:rPr>
          <w:rFonts w:ascii="Arial" w:cs="Arial" w:eastAsia="Arial" w:hAnsi="Arial"/>
          <w:sz w:val="22"/>
          <w:szCs w:val="22"/>
        </w:rPr>
        <w:t xml:space="preserve">Generated weekly or on-demand. Contains:</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Executive Summary: Current IRI, RQS, and InRI scores with trend arrows (up/stable/down).</w:t>
      </w:r>
    </w:p>
    <w:p>
      <w:pPr>
        <w:pStyle w:val="ListParagraph"/>
        <w:numPr>
          <w:ilvl w:val="0"/>
          <w:numId w:val="2"/>
        </w:numPr>
        <w:spacing w:before="60" w:after="60"/>
      </w:pPr>
      <w:r>
        <w:rPr>
          <w:rFonts w:ascii="Arial" w:cs="Arial" w:eastAsia="Arial" w:hAnsi="Arial"/>
          <w:sz w:val="22"/>
          <w:szCs w:val="22"/>
        </w:rPr>
        <w:t xml:space="preserve">Top Priority Actions: The three highest-impact actions the student can take this week, ranked by expected score improvement and time investment estimate.</w:t>
      </w:r>
    </w:p>
    <w:p>
      <w:pPr>
        <w:pStyle w:val="ListParagraph"/>
        <w:numPr>
          <w:ilvl w:val="0"/>
          <w:numId w:val="2"/>
        </w:numPr>
        <w:spacing w:before="60" w:after="60"/>
      </w:pPr>
      <w:r>
        <w:rPr>
          <w:rFonts w:ascii="Arial" w:cs="Arial" w:eastAsia="Arial" w:hAnsi="Arial"/>
          <w:sz w:val="22"/>
          <w:szCs w:val="22"/>
        </w:rPr>
        <w:t xml:space="preserve">Strength Profile: Domains where the student consistently outperforms the cohort average, presented as competitive advantages.</w:t>
      </w:r>
    </w:p>
    <w:p>
      <w:pPr>
        <w:pStyle w:val="ListParagraph"/>
        <w:numPr>
          <w:ilvl w:val="0"/>
          <w:numId w:val="2"/>
        </w:numPr>
        <w:spacing w:before="60" w:after="60"/>
      </w:pPr>
      <w:r>
        <w:rPr>
          <w:rFonts w:ascii="Arial" w:cs="Arial" w:eastAsia="Arial" w:hAnsi="Arial"/>
          <w:sz w:val="22"/>
          <w:szCs w:val="22"/>
        </w:rPr>
        <w:t xml:space="preserve">Risk Alerts: Upcoming placement deadlines, overdue milestones, and domain scores that are trending downward.</w:t>
      </w:r>
    </w:p>
    <w:p>
      <w:pPr>
        <w:pStyle w:val="ListParagraph"/>
        <w:numPr>
          <w:ilvl w:val="0"/>
          <w:numId w:val="2"/>
        </w:numPr>
        <w:spacing w:before="60" w:after="60"/>
      </w:pPr>
      <w:r>
        <w:rPr>
          <w:rFonts w:ascii="Arial" w:cs="Arial" w:eastAsia="Arial" w:hAnsi="Arial"/>
          <w:sz w:val="22"/>
          <w:szCs w:val="22"/>
        </w:rPr>
        <w:t xml:space="preserve">Role Fit Suggestions: Based on performance data, the system identifies 3–5 job roles where the student's current profile is strongest, with match percentage and gap summary.</w:t>
      </w:r>
    </w:p>
    <w:p>
      <w:pPr>
        <w:pStyle w:val="ListParagraph"/>
        <w:numPr>
          <w:ilvl w:val="0"/>
          <w:numId w:val="2"/>
        </w:numPr>
        <w:spacing w:before="60" w:after="60"/>
      </w:pPr>
      <w:r>
        <w:rPr>
          <w:rFonts w:ascii="Arial" w:cs="Arial" w:eastAsia="Arial" w:hAnsi="Arial"/>
          <w:sz w:val="22"/>
          <w:szCs w:val="22"/>
        </w:rPr>
        <w:t xml:space="preserve">Recommended Resources: Specific courses, modules, or practice sets linked to identified gaps — sourced from the platform's own content library, not external links.</w:t>
      </w:r>
    </w:p>
    <w:p>
      <w:pPr>
        <w:spacing w:before="80" w:after="0"/>
      </w:pPr>
      <w:r>
        <w:t xml:space="preserve"/>
      </w:r>
    </w:p>
    <w:p>
      <w:pPr>
        <w:spacing w:before="200" w:after="100"/>
      </w:pPr>
      <w:r>
        <w:rPr>
          <w:rFonts w:ascii="Arial" w:cs="Arial" w:eastAsia="Arial" w:hAnsi="Arial"/>
          <w:b/>
          <w:bCs/>
          <w:color w:val="1B3A6B"/>
          <w:sz w:val="24"/>
          <w:szCs w:val="24"/>
        </w:rPr>
        <w:t xml:space="preserve">B. Counselor Review Report (Advisor-Facing)</w:t>
      </w:r>
    </w:p>
    <w:p>
      <w:pPr>
        <w:spacing w:before="80" w:after="80"/>
        <w:jc w:val="both"/>
      </w:pPr>
      <w:r>
        <w:rPr>
          <w:rFonts w:ascii="Arial" w:cs="Arial" w:eastAsia="Arial" w:hAnsi="Arial"/>
          <w:sz w:val="22"/>
          <w:szCs w:val="22"/>
        </w:rPr>
        <w:t xml:space="preserve">Generated weekly for each assigned student cohort. Contains:</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Cohort Readiness Distribution: Visual breakdown of students by IRI/RQS/InRI bands with counts and percentage shifts from the prior week.</w:t>
      </w:r>
    </w:p>
    <w:p>
      <w:pPr>
        <w:pStyle w:val="ListParagraph"/>
        <w:numPr>
          <w:ilvl w:val="0"/>
          <w:numId w:val="2"/>
        </w:numPr>
        <w:spacing w:before="60" w:after="60"/>
      </w:pPr>
      <w:r>
        <w:rPr>
          <w:rFonts w:ascii="Arial" w:cs="Arial" w:eastAsia="Arial" w:hAnsi="Arial"/>
          <w:sz w:val="22"/>
          <w:szCs w:val="22"/>
        </w:rPr>
        <w:t xml:space="preserve">Students Requiring Immediate Attention: Auto-ranked list of students with declining trajectories, overdue actions, or counselor annotation backlogs.</w:t>
      </w:r>
    </w:p>
    <w:p>
      <w:pPr>
        <w:pStyle w:val="ListParagraph"/>
        <w:numPr>
          <w:ilvl w:val="0"/>
          <w:numId w:val="2"/>
        </w:numPr>
        <w:spacing w:before="60" w:after="60"/>
      </w:pPr>
      <w:r>
        <w:rPr>
          <w:rFonts w:ascii="Arial" w:cs="Arial" w:eastAsia="Arial" w:hAnsi="Arial"/>
          <w:sz w:val="22"/>
          <w:szCs w:val="22"/>
        </w:rPr>
        <w:t xml:space="preserve">Engagement Metrics: Login frequency, module completion rate, and average active preparation hours per student.</w:t>
      </w:r>
    </w:p>
    <w:p>
      <w:pPr>
        <w:pStyle w:val="ListParagraph"/>
        <w:numPr>
          <w:ilvl w:val="0"/>
          <w:numId w:val="2"/>
        </w:numPr>
        <w:spacing w:before="60" w:after="60"/>
      </w:pPr>
      <w:r>
        <w:rPr>
          <w:rFonts w:ascii="Arial" w:cs="Arial" w:eastAsia="Arial" w:hAnsi="Arial"/>
          <w:sz w:val="22"/>
          <w:szCs w:val="22"/>
        </w:rPr>
        <w:t xml:space="preserve">Intervention Outcomes: Tracks whether counselor-flagged students improved their scores after intervention, providing a feedback loop on counselor effectiveness.</w:t>
      </w:r>
    </w:p>
    <w:p>
      <w:pPr>
        <w:pStyle w:val="ListParagraph"/>
        <w:numPr>
          <w:ilvl w:val="0"/>
          <w:numId w:val="2"/>
        </w:numPr>
        <w:spacing w:before="60" w:after="60"/>
      </w:pPr>
      <w:r>
        <w:rPr>
          <w:rFonts w:ascii="Arial" w:cs="Arial" w:eastAsia="Arial" w:hAnsi="Arial"/>
          <w:sz w:val="22"/>
          <w:szCs w:val="22"/>
        </w:rPr>
        <w:t xml:space="preserve">Upcoming Placement Cycle Readiness: Count of students projected to meet each employer's minimum criteria by the placement cycle date.</w:t>
      </w:r>
    </w:p>
    <w:p>
      <w:pPr>
        <w:spacing w:before="80" w:after="0"/>
      </w:pPr>
      <w:r>
        <w:t xml:space="preserve"/>
      </w:r>
    </w:p>
    <w:p>
      <w:pPr>
        <w:spacing w:before="200" w:after="100"/>
      </w:pPr>
      <w:r>
        <w:rPr>
          <w:rFonts w:ascii="Arial" w:cs="Arial" w:eastAsia="Arial" w:hAnsi="Arial"/>
          <w:b/>
          <w:bCs/>
          <w:color w:val="1B3A6B"/>
          <w:sz w:val="24"/>
          <w:szCs w:val="24"/>
        </w:rPr>
        <w:t xml:space="preserve">C. Institutional Placement Report (Admin-Facing)</w:t>
      </w:r>
    </w:p>
    <w:p>
      <w:pPr>
        <w:spacing w:before="80" w:after="80"/>
        <w:jc w:val="both"/>
      </w:pPr>
      <w:r>
        <w:rPr>
          <w:rFonts w:ascii="Arial" w:cs="Arial" w:eastAsia="Arial" w:hAnsi="Arial"/>
          <w:sz w:val="22"/>
          <w:szCs w:val="22"/>
        </w:rPr>
        <w:t xml:space="preserve">Generated monthly and at the close of each placement cycle. Contains:</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Batch-Level Statistics: Mean, median, and standard deviation for IRI, RQS, and InRI across the current batch.</w:t>
      </w:r>
    </w:p>
    <w:p>
      <w:pPr>
        <w:pStyle w:val="ListParagraph"/>
        <w:numPr>
          <w:ilvl w:val="0"/>
          <w:numId w:val="2"/>
        </w:numPr>
        <w:spacing w:before="60" w:after="60"/>
      </w:pPr>
      <w:r>
        <w:rPr>
          <w:rFonts w:ascii="Arial" w:cs="Arial" w:eastAsia="Arial" w:hAnsi="Arial"/>
          <w:sz w:val="22"/>
          <w:szCs w:val="22"/>
        </w:rPr>
        <w:t xml:space="preserve">Year-over-Year Comparison: Current batch performance vs. the previous two batches across all readiness dimensions.</w:t>
      </w:r>
    </w:p>
    <w:p>
      <w:pPr>
        <w:pStyle w:val="ListParagraph"/>
        <w:numPr>
          <w:ilvl w:val="0"/>
          <w:numId w:val="2"/>
        </w:numPr>
        <w:spacing w:before="60" w:after="60"/>
      </w:pPr>
      <w:r>
        <w:rPr>
          <w:rFonts w:ascii="Arial" w:cs="Arial" w:eastAsia="Arial" w:hAnsi="Arial"/>
          <w:sz w:val="22"/>
          <w:szCs w:val="22"/>
        </w:rPr>
        <w:t xml:space="preserve">Department-Level Breakdown: Readiness scores segmented by department, course, or specialization — enabling curriculum-level insights.</w:t>
      </w:r>
    </w:p>
    <w:p>
      <w:pPr>
        <w:pStyle w:val="ListParagraph"/>
        <w:numPr>
          <w:ilvl w:val="0"/>
          <w:numId w:val="2"/>
        </w:numPr>
        <w:spacing w:before="60" w:after="60"/>
      </w:pPr>
      <w:r>
        <w:rPr>
          <w:rFonts w:ascii="Arial" w:cs="Arial" w:eastAsia="Arial" w:hAnsi="Arial"/>
          <w:sz w:val="22"/>
          <w:szCs w:val="22"/>
        </w:rPr>
        <w:t xml:space="preserve">Placement Conversion Funnel: From enrolled students → placement-eligible → actively applied → interview scheduled → offer received → offer accepted.</w:t>
      </w:r>
    </w:p>
    <w:p>
      <w:pPr>
        <w:pStyle w:val="ListParagraph"/>
        <w:numPr>
          <w:ilvl w:val="0"/>
          <w:numId w:val="2"/>
        </w:numPr>
        <w:spacing w:before="60" w:after="60"/>
      </w:pPr>
      <w:r>
        <w:rPr>
          <w:rFonts w:ascii="Arial" w:cs="Arial" w:eastAsia="Arial" w:hAnsi="Arial"/>
          <w:sz w:val="22"/>
          <w:szCs w:val="22"/>
        </w:rPr>
        <w:t xml:space="preserve">Employer Feedback Integration: Structured post-hire feedback from employer partners is aggregated and surfaced as a readiness signal calibration input.</w:t>
      </w:r>
    </w:p>
    <w:p>
      <w:pPr>
        <w:spacing w:before="80" w:after="0"/>
      </w:pPr>
      <w:r>
        <w:t xml:space="preserve"/>
      </w:r>
    </w:p>
    <w:p>
      <w:pPr>
        <w:spacing w:before="200" w:after="100"/>
      </w:pPr>
      <w:r>
        <w:rPr>
          <w:rFonts w:ascii="Arial" w:cs="Arial" w:eastAsia="Arial" w:hAnsi="Arial"/>
          <w:b/>
          <w:bCs/>
          <w:color w:val="1B3A6B"/>
          <w:sz w:val="24"/>
          <w:szCs w:val="24"/>
        </w:rPr>
        <w:t xml:space="preserve">D. Role-Specific Recommendation Engine</w:t>
      </w:r>
    </w:p>
    <w:p>
      <w:pPr>
        <w:spacing w:before="80" w:after="80"/>
        <w:jc w:val="both"/>
      </w:pPr>
      <w:r>
        <w:rPr>
          <w:rFonts w:ascii="Arial" w:cs="Arial" w:eastAsia="Arial" w:hAnsi="Arial"/>
          <w:sz w:val="22"/>
          <w:szCs w:val="22"/>
        </w:rPr>
        <w:t xml:space="preserve">When a student explicitly targets a job role or when the system infers a strong role fit, a Role-Specific Deep-Dive Report is generated:</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Current profile match percentage against the role's canonical skill and experience requirements.</w:t>
      </w:r>
    </w:p>
    <w:p>
      <w:pPr>
        <w:pStyle w:val="ListParagraph"/>
        <w:numPr>
          <w:ilvl w:val="0"/>
          <w:numId w:val="2"/>
        </w:numPr>
        <w:spacing w:before="60" w:after="60"/>
      </w:pPr>
      <w:r>
        <w:rPr>
          <w:rFonts w:ascii="Arial" w:cs="Arial" w:eastAsia="Arial" w:hAnsi="Arial"/>
          <w:sz w:val="22"/>
          <w:szCs w:val="22"/>
        </w:rPr>
        <w:t xml:space="preserve">Skill acquisition timeline: estimated weeks to close identified gaps based on the student's current preparation velocity.</w:t>
      </w:r>
    </w:p>
    <w:p>
      <w:pPr>
        <w:pStyle w:val="ListParagraph"/>
        <w:numPr>
          <w:ilvl w:val="0"/>
          <w:numId w:val="2"/>
        </w:numPr>
        <w:spacing w:before="60" w:after="60"/>
      </w:pPr>
      <w:r>
        <w:rPr>
          <w:rFonts w:ascii="Arial" w:cs="Arial" w:eastAsia="Arial" w:hAnsi="Arial"/>
          <w:sz w:val="22"/>
          <w:szCs w:val="22"/>
        </w:rPr>
        <w:t xml:space="preserve">Competing candidate landscape: anonymized comparison of how the student's profile ranks within the pool of students targeting the same role.</w:t>
      </w:r>
    </w:p>
    <w:p>
      <w:pPr>
        <w:pStyle w:val="ListParagraph"/>
        <w:numPr>
          <w:ilvl w:val="0"/>
          <w:numId w:val="2"/>
        </w:numPr>
        <w:spacing w:before="60" w:after="60"/>
      </w:pPr>
      <w:r>
        <w:rPr>
          <w:rFonts w:ascii="Arial" w:cs="Arial" w:eastAsia="Arial" w:hAnsi="Arial"/>
          <w:sz w:val="22"/>
          <w:szCs w:val="22"/>
        </w:rPr>
        <w:t xml:space="preserve">Historical placement data for the role: average IRI/RQS/InRI of students who received offers for this role in prior cycles.</w:t>
      </w:r>
    </w:p>
    <w:p>
      <w:pPr>
        <w:spacing w:before="120" w:after="0"/>
      </w:pPr>
      <w:r>
        <w:t xml:space="preserve"/>
      </w:r>
    </w:p>
    <w:p>
      <w:pPr>
        <w:pStyle w:val="Heading2"/>
        <w:spacing w:before="280" w:after="140"/>
      </w:pPr>
      <w:r>
        <w:rPr>
          <w:rFonts w:ascii="Arial" w:cs="Arial" w:eastAsia="Arial" w:hAnsi="Arial"/>
          <w:b/>
          <w:bCs/>
          <w:color w:val="2E5FA3"/>
          <w:sz w:val="28"/>
          <w:szCs w:val="28"/>
        </w:rPr>
        <w:t xml:space="preserve">4.3  Report Delivery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1F9" w:val="clear"/>
            <w:tcMar>
              <w:top w:type="dxa" w:w="100"/>
              <w:left w:type="dxa" w:w="160"/>
              <w:bottom w:type="dxa" w:w="100"/>
              <w:right w:type="dxa" w:w="120"/>
            </w:tcMar>
          </w:tcPr>
          <w:p>
            <w:r>
              <w:rPr>
                <w:rFonts w:ascii="Arial" w:cs="Arial" w:eastAsia="Arial" w:hAnsi="Arial"/>
                <w:b/>
                <w:bCs/>
                <w:color w:val="1B3A6B"/>
                <w:sz w:val="21"/>
                <w:szCs w:val="21"/>
              </w:rPr>
              <w:t xml:space="preserve">Generation Triggers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Scheduled (weekly/monthly), on-demand by student or counselor, post-session (after mock interview or GD)</w:t>
            </w:r>
          </w:p>
        </w:tc>
      </w:tr>
      <w:tr>
        <w:tc>
          <w:tcPr>
            <w:tcW w:type="dxa" w:w="2800"/>
            <w:tcBorders>
              <w:top w:val="single" w:color="CCCCCC" w:sz="1"/>
              <w:left w:val="single" w:color="CCCCCC" w:sz="1"/>
              <w:bottom w:val="single" w:color="CCCCCC" w:sz="1"/>
              <w:right w:val="single" w:color="CCCCCC" w:sz="1"/>
            </w:tcBorders>
            <w:shd w:fill="F5F8FD" w:val="clear"/>
            <w:tcMar>
              <w:top w:type="dxa" w:w="100"/>
              <w:left w:type="dxa" w:w="160"/>
              <w:bottom w:type="dxa" w:w="100"/>
              <w:right w:type="dxa" w:w="120"/>
            </w:tcMar>
          </w:tcPr>
          <w:p>
            <w:r>
              <w:rPr>
                <w:rFonts w:ascii="Arial" w:cs="Arial" w:eastAsia="Arial" w:hAnsi="Arial"/>
                <w:b/>
                <w:bCs/>
                <w:color w:val="1B3A6B"/>
                <w:sz w:val="21"/>
                <w:szCs w:val="21"/>
              </w:rPr>
              <w:t xml:space="preserve">Delivery Channels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60"/>
              <w:bottom w:type="dxa" w:w="100"/>
              <w:right w:type="dxa" w:w="120"/>
            </w:tcMar>
          </w:tcPr>
          <w:p>
            <w:r>
              <w:rPr>
                <w:rFonts w:ascii="Arial" w:cs="Arial" w:eastAsia="Arial" w:hAnsi="Arial"/>
                <w:sz w:val="21"/>
                <w:szCs w:val="21"/>
              </w:rPr>
              <w:t xml:space="preserve">In-platform notification, email digest (configurable), downloadable PDF export</w:t>
            </w:r>
          </w:p>
        </w:tc>
      </w:tr>
      <w:tr>
        <w:tc>
          <w:tcPr>
            <w:tcW w:type="dxa" w:w="2800"/>
            <w:tcBorders>
              <w:top w:val="single" w:color="CCCCCC" w:sz="1"/>
              <w:left w:val="single" w:color="CCCCCC" w:sz="1"/>
              <w:bottom w:val="single" w:color="CCCCCC" w:sz="1"/>
              <w:right w:val="single" w:color="CCCCCC" w:sz="1"/>
            </w:tcBorders>
            <w:shd w:fill="EBF1F9" w:val="clear"/>
            <w:tcMar>
              <w:top w:type="dxa" w:w="100"/>
              <w:left w:type="dxa" w:w="160"/>
              <w:bottom w:type="dxa" w:w="100"/>
              <w:right w:type="dxa" w:w="120"/>
            </w:tcMar>
          </w:tcPr>
          <w:p>
            <w:r>
              <w:rPr>
                <w:rFonts w:ascii="Arial" w:cs="Arial" w:eastAsia="Arial" w:hAnsi="Arial"/>
                <w:b/>
                <w:bCs/>
                <w:color w:val="1B3A6B"/>
                <w:sz w:val="21"/>
                <w:szCs w:val="21"/>
              </w:rPr>
              <w:t xml:space="preserve">Data Freshness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Reports reflect scores as of generation time; historical reports are frozen and auditable</w:t>
            </w:r>
          </w:p>
        </w:tc>
      </w:tr>
      <w:tr>
        <w:tc>
          <w:tcPr>
            <w:tcW w:type="dxa" w:w="2800"/>
            <w:tcBorders>
              <w:top w:val="single" w:color="CCCCCC" w:sz="1"/>
              <w:left w:val="single" w:color="CCCCCC" w:sz="1"/>
              <w:bottom w:val="single" w:color="CCCCCC" w:sz="1"/>
              <w:right w:val="single" w:color="CCCCCC" w:sz="1"/>
            </w:tcBorders>
            <w:shd w:fill="F5F8FD" w:val="clear"/>
            <w:tcMar>
              <w:top w:type="dxa" w:w="100"/>
              <w:left w:type="dxa" w:w="160"/>
              <w:bottom w:type="dxa" w:w="100"/>
              <w:right w:type="dxa" w:w="120"/>
            </w:tcMar>
          </w:tcPr>
          <w:p>
            <w:r>
              <w:rPr>
                <w:rFonts w:ascii="Arial" w:cs="Arial" w:eastAsia="Arial" w:hAnsi="Arial"/>
                <w:b/>
                <w:bCs/>
                <w:color w:val="1B3A6B"/>
                <w:sz w:val="21"/>
                <w:szCs w:val="21"/>
              </w:rPr>
              <w:t xml:space="preserve">Access Segmentation</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60"/>
              <w:bottom w:type="dxa" w:w="100"/>
              <w:right w:type="dxa" w:w="120"/>
            </w:tcMar>
          </w:tcPr>
          <w:p>
            <w:r>
              <w:rPr>
                <w:rFonts w:ascii="Arial" w:cs="Arial" w:eastAsia="Arial" w:hAnsi="Arial"/>
                <w:sz w:val="21"/>
                <w:szCs w:val="21"/>
              </w:rPr>
              <w:t xml:space="preserve">Student: own report only | Counselor: all assigned students | Admin: full institution | Employer: aggregate only</w:t>
            </w:r>
          </w:p>
        </w:tc>
      </w:tr>
      <w:tr>
        <w:tc>
          <w:tcPr>
            <w:tcW w:type="dxa" w:w="2800"/>
            <w:tcBorders>
              <w:top w:val="single" w:color="CCCCCC" w:sz="1"/>
              <w:left w:val="single" w:color="CCCCCC" w:sz="1"/>
              <w:bottom w:val="single" w:color="CCCCCC" w:sz="1"/>
              <w:right w:val="single" w:color="CCCCCC" w:sz="1"/>
            </w:tcBorders>
            <w:shd w:fill="EBF1F9" w:val="clear"/>
            <w:tcMar>
              <w:top w:type="dxa" w:w="100"/>
              <w:left w:type="dxa" w:w="160"/>
              <w:bottom w:type="dxa" w:w="100"/>
              <w:right w:type="dxa" w:w="120"/>
            </w:tcMar>
          </w:tcPr>
          <w:p>
            <w:r>
              <w:rPr>
                <w:rFonts w:ascii="Arial" w:cs="Arial" w:eastAsia="Arial" w:hAnsi="Arial"/>
                <w:b/>
                <w:bCs/>
                <w:color w:val="1B3A6B"/>
                <w:sz w:val="21"/>
                <w:szCs w:val="21"/>
              </w:rPr>
              <w:t xml:space="preserve">Localization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Report language and terminology configurable per institution (supports regional job market vocabulary)</w:t>
            </w:r>
          </w:p>
        </w:tc>
      </w:tr>
    </w:tbl>
    <w:p>
      <w:pPr>
        <w:spacing w:before="120" w:after="0"/>
      </w:pPr>
      <w:r>
        <w:t xml:space="preserve"/>
      </w:r>
    </w:p>
    <w:p>
      <w:pPr>
        <w:pStyle w:val="Heading2"/>
        <w:spacing w:before="280" w:after="140"/>
      </w:pPr>
      <w:r>
        <w:rPr>
          <w:rFonts w:ascii="Arial" w:cs="Arial" w:eastAsia="Arial" w:hAnsi="Arial"/>
          <w:b/>
          <w:bCs/>
          <w:color w:val="2E5FA3"/>
          <w:sz w:val="28"/>
          <w:szCs w:val="28"/>
        </w:rPr>
        <w:t xml:space="preserve">4.4  Design Principles for Recommendations</w:t>
      </w:r>
    </w:p>
    <w:p>
      <w:pPr>
        <w:spacing w:before="80" w:after="80"/>
        <w:jc w:val="both"/>
      </w:pPr>
      <w:r>
        <w:rPr>
          <w:rFonts w:ascii="Arial" w:cs="Arial" w:eastAsia="Arial" w:hAnsi="Arial"/>
          <w:sz w:val="22"/>
          <w:szCs w:val="22"/>
        </w:rPr>
        <w:t xml:space="preserve">All recommendations in this system adhere to four non-negotiable design constraints:</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Evidence-Bound: Every recommendation references the specific data point that triggered it (e.g., 'Your data structures score dropped from 68 to 54 across the last three sessions').</w:t>
      </w:r>
    </w:p>
    <w:p>
      <w:pPr>
        <w:pStyle w:val="ListParagraph"/>
        <w:numPr>
          <w:ilvl w:val="0"/>
          <w:numId w:val="2"/>
        </w:numPr>
        <w:spacing w:before="60" w:after="60"/>
      </w:pPr>
      <w:r>
        <w:rPr>
          <w:rFonts w:ascii="Arial" w:cs="Arial" w:eastAsia="Arial" w:hAnsi="Arial"/>
          <w:sz w:val="22"/>
          <w:szCs w:val="22"/>
        </w:rPr>
        <w:t xml:space="preserve">Actionable: Recommendations specify what to do, not just what is wrong. Vague suggestions like 'improve technical skills' are disallowed in favor of specific module or practice session links.</w:t>
      </w:r>
    </w:p>
    <w:p>
      <w:pPr>
        <w:pStyle w:val="ListParagraph"/>
        <w:numPr>
          <w:ilvl w:val="0"/>
          <w:numId w:val="2"/>
        </w:numPr>
        <w:spacing w:before="60" w:after="60"/>
      </w:pPr>
      <w:r>
        <w:rPr>
          <w:rFonts w:ascii="Arial" w:cs="Arial" w:eastAsia="Arial" w:hAnsi="Arial"/>
          <w:sz w:val="22"/>
          <w:szCs w:val="22"/>
        </w:rPr>
        <w:t xml:space="preserve">Time-Bounded: Each recommendation includes an estimated time commitment and a suggested completion date tied to the nearest upcoming placement milestone.</w:t>
      </w:r>
    </w:p>
    <w:p>
      <w:pPr>
        <w:pStyle w:val="ListParagraph"/>
        <w:numPr>
          <w:ilvl w:val="0"/>
          <w:numId w:val="2"/>
        </w:numPr>
        <w:spacing w:before="60" w:after="60"/>
      </w:pPr>
      <w:r>
        <w:rPr>
          <w:rFonts w:ascii="Arial" w:cs="Arial" w:eastAsia="Arial" w:hAnsi="Arial"/>
          <w:sz w:val="22"/>
          <w:szCs w:val="22"/>
        </w:rPr>
        <w:t xml:space="preserve">Non-Judgmental Language: The report generation templates are reviewed to eliminate language that implies personal inadequacy. Framing is always comparative to an objective standard, not to other named students.</w:t>
      </w:r>
    </w:p>
    <w:p>
      <w:r>
        <w:br w:type="page"/>
      </w:r>
    </w:p>
    <w:p>
      <w:pPr>
        <w:pBdr>
          <w:left w:val="single" w:color="2E5FA3" w:sz="24" w:space="12"/>
        </w:pBdr>
        <w:spacing w:before="400" w:after="160"/>
        <w:ind w:left="360"/>
      </w:pPr>
      <w:r>
        <w:rPr>
          <w:rFonts w:ascii="Arial" w:cs="Arial" w:eastAsia="Arial" w:hAnsi="Arial"/>
          <w:b/>
          <w:bCs/>
          <w:color w:val="2E5FA3"/>
          <w:sz w:val="32"/>
          <w:szCs w:val="32"/>
        </w:rPr>
        <w:t xml:space="preserve">Feature K.5: </w:t>
      </w:r>
      <w:r>
        <w:rPr>
          <w:rFonts w:ascii="Arial" w:cs="Arial" w:eastAsia="Arial" w:hAnsi="Arial"/>
          <w:b/>
          <w:bCs/>
          <w:color w:val="1B3A6B"/>
          <w:sz w:val="32"/>
          <w:szCs w:val="32"/>
        </w:rPr>
        <w:t xml:space="preserve">Employer Readiness Analytics</w:t>
      </w:r>
    </w:p>
    <w:p>
      <w:pPr>
        <w:spacing w:before="100" w:after="0"/>
      </w:pPr>
      <w:r>
        <w:t xml:space="preserve"/>
      </w:r>
    </w:p>
    <w:p>
      <w:pPr>
        <w:pStyle w:val="Heading2"/>
        <w:spacing w:before="280" w:after="140"/>
      </w:pPr>
      <w:r>
        <w:rPr>
          <w:rFonts w:ascii="Arial" w:cs="Arial" w:eastAsia="Arial" w:hAnsi="Arial"/>
          <w:b/>
          <w:bCs/>
          <w:color w:val="2E5FA3"/>
          <w:sz w:val="28"/>
          <w:szCs w:val="28"/>
        </w:rPr>
        <w:t xml:space="preserve">5.1  Purpose &amp; Strategic Value</w:t>
      </w:r>
    </w:p>
    <w:p>
      <w:pPr>
        <w:spacing w:before="80" w:after="80"/>
        <w:jc w:val="both"/>
      </w:pPr>
      <w:r>
        <w:rPr>
          <w:rFonts w:ascii="Arial" w:cs="Arial" w:eastAsia="Arial" w:hAnsi="Arial"/>
          <w:sz w:val="22"/>
          <w:szCs w:val="22"/>
        </w:rPr>
        <w:t xml:space="preserve">Employer Readiness Analytics is the outward-facing intelligence layer of Section K. While the previous four features focus on student preparation and institutional management, Feature K.5 serves a dual audience: the institution seeking to demonstrate placement effectiveness to employer partners, and the employers themselves who need efficient, data-driven methods to identify and engage qualified candidates.</w:t>
      </w:r>
    </w:p>
    <w:p>
      <w:pPr>
        <w:spacing w:before="80" w:after="0"/>
      </w:pPr>
      <w:r>
        <w:t xml:space="preserve"/>
      </w:r>
    </w:p>
    <w:p>
      <w:pPr>
        <w:spacing w:before="80" w:after="80"/>
        <w:jc w:val="both"/>
      </w:pPr>
      <w:r>
        <w:rPr>
          <w:rFonts w:ascii="Arial" w:cs="Arial" w:eastAsia="Arial" w:hAnsi="Arial"/>
          <w:sz w:val="22"/>
          <w:szCs w:val="22"/>
        </w:rPr>
        <w:t xml:space="preserve">The feature converts the rich internal data generated by Features K.1 through K.4 into employer-consumable insights — structured, role-relevant, and compliant with candidate privacy requirements. It creates a closed-loop feedback system where employer outcomes (placement success, post-hire performance, early retention) flow back into the platform's readiness benchmarks, continuously improving the accuracy of the system over time.</w:t>
      </w:r>
    </w:p>
    <w:p>
      <w:pPr>
        <w:spacing w:before="80" w:after="0"/>
      </w:pPr>
      <w:r>
        <w:t xml:space="preserve"/>
      </w:r>
    </w:p>
    <w:p>
      <w:pPr>
        <w:pStyle w:val="Heading2"/>
        <w:spacing w:before="280" w:after="140"/>
      </w:pPr>
      <w:r>
        <w:rPr>
          <w:rFonts w:ascii="Arial" w:cs="Arial" w:eastAsia="Arial" w:hAnsi="Arial"/>
          <w:b/>
          <w:bCs/>
          <w:color w:val="2E5FA3"/>
          <w:sz w:val="28"/>
          <w:szCs w:val="28"/>
        </w:rPr>
        <w:t xml:space="preserve">5.2  Key Functional Components</w:t>
      </w:r>
    </w:p>
    <w:p>
      <w:pPr>
        <w:spacing w:before="60" w:after="0"/>
      </w:pPr>
      <w:r>
        <w:t xml:space="preserve"/>
      </w:r>
    </w:p>
    <w:p>
      <w:pPr>
        <w:spacing w:before="200" w:after="100"/>
      </w:pPr>
      <w:r>
        <w:rPr>
          <w:rFonts w:ascii="Arial" w:cs="Arial" w:eastAsia="Arial" w:hAnsi="Arial"/>
          <w:b/>
          <w:bCs/>
          <w:color w:val="1B3A6B"/>
          <w:sz w:val="24"/>
          <w:szCs w:val="24"/>
        </w:rPr>
        <w:t xml:space="preserve">A. Employer Dashboard</w:t>
      </w:r>
    </w:p>
    <w:p>
      <w:pPr>
        <w:spacing w:before="80" w:after="80"/>
        <w:jc w:val="both"/>
      </w:pPr>
      <w:r>
        <w:rPr>
          <w:rFonts w:ascii="Arial" w:cs="Arial" w:eastAsia="Arial" w:hAnsi="Arial"/>
          <w:sz w:val="22"/>
          <w:szCs w:val="22"/>
        </w:rPr>
        <w:t xml:space="preserve">Registered employer partners access a dedicated analytics interface with role-specific candidate pool data. The dashboard includes:</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Talent Pool Overview: Total number of students currently in placement-eligible status, segmented by IRI band, target role, graduation year, and department.</w:t>
      </w:r>
    </w:p>
    <w:p>
      <w:pPr>
        <w:pStyle w:val="ListParagraph"/>
        <w:numPr>
          <w:ilvl w:val="0"/>
          <w:numId w:val="2"/>
        </w:numPr>
        <w:spacing w:before="60" w:after="60"/>
      </w:pPr>
      <w:r>
        <w:rPr>
          <w:rFonts w:ascii="Arial" w:cs="Arial" w:eastAsia="Arial" w:hAnsi="Arial"/>
          <w:sz w:val="22"/>
          <w:szCs w:val="22"/>
        </w:rPr>
        <w:t xml:space="preserve">Role-Filtered Candidate Lists: Employers select a target role from the platform taxonomy; the system surfaces the ranked list of candidates matching that role based on readiness composite scores.</w:t>
      </w:r>
    </w:p>
    <w:p>
      <w:pPr>
        <w:pStyle w:val="ListParagraph"/>
        <w:numPr>
          <w:ilvl w:val="0"/>
          <w:numId w:val="2"/>
        </w:numPr>
        <w:spacing w:before="60" w:after="60"/>
      </w:pPr>
      <w:r>
        <w:rPr>
          <w:rFonts w:ascii="Arial" w:cs="Arial" w:eastAsia="Arial" w:hAnsi="Arial"/>
          <w:sz w:val="22"/>
          <w:szCs w:val="22"/>
        </w:rPr>
        <w:t xml:space="preserve">Readiness Score Transparency: For each candidate visible to the employer, the platform displays IRI, RQS, and InRI scores alongside the components that drive them — giving employers objective hiring signals beyond resumes alone.</w:t>
      </w:r>
    </w:p>
    <w:p>
      <w:pPr>
        <w:pStyle w:val="ListParagraph"/>
        <w:numPr>
          <w:ilvl w:val="0"/>
          <w:numId w:val="2"/>
        </w:numPr>
        <w:spacing w:before="60" w:after="60"/>
      </w:pPr>
      <w:r>
        <w:rPr>
          <w:rFonts w:ascii="Arial" w:cs="Arial" w:eastAsia="Arial" w:hAnsi="Arial"/>
          <w:sz w:val="22"/>
          <w:szCs w:val="22"/>
        </w:rPr>
        <w:t xml:space="preserve">Batch Comparison View: Employers can compare the readiness profile of the current placement batch against previous batches from the same institution — enabling predictive hiring confidence.</w:t>
      </w:r>
    </w:p>
    <w:p>
      <w:pPr>
        <w:spacing w:before="80" w:after="0"/>
      </w:pPr>
      <w:r>
        <w:t xml:space="preserve"/>
      </w:r>
    </w:p>
    <w:p>
      <w:pPr>
        <w:spacing w:before="200" w:after="100"/>
      </w:pPr>
      <w:r>
        <w:rPr>
          <w:rFonts w:ascii="Arial" w:cs="Arial" w:eastAsia="Arial" w:hAnsi="Arial"/>
          <w:b/>
          <w:bCs/>
          <w:color w:val="1B3A6B"/>
          <w:sz w:val="24"/>
          <w:szCs w:val="24"/>
        </w:rPr>
        <w:t xml:space="preserve">B. Employer-Defined Readiness Thresholds</w:t>
      </w:r>
    </w:p>
    <w:p>
      <w:pPr>
        <w:spacing w:before="80" w:after="80"/>
        <w:jc w:val="both"/>
      </w:pPr>
      <w:r>
        <w:rPr>
          <w:rFonts w:ascii="Arial" w:cs="Arial" w:eastAsia="Arial" w:hAnsi="Arial"/>
          <w:sz w:val="22"/>
          <w:szCs w:val="22"/>
        </w:rPr>
        <w:t xml:space="preserve">Employers can configure custom minimum threshold profiles for roles they recruit for:</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Minimum IRI, RQS, and InRI scores required for interview scheduling consideration.</w:t>
      </w:r>
    </w:p>
    <w:p>
      <w:pPr>
        <w:pStyle w:val="ListParagraph"/>
        <w:numPr>
          <w:ilvl w:val="0"/>
          <w:numId w:val="2"/>
        </w:numPr>
        <w:spacing w:before="60" w:after="60"/>
      </w:pPr>
      <w:r>
        <w:rPr>
          <w:rFonts w:ascii="Arial" w:cs="Arial" w:eastAsia="Arial" w:hAnsi="Arial"/>
          <w:sz w:val="22"/>
          <w:szCs w:val="22"/>
        </w:rPr>
        <w:t xml:space="preserve">Domain-specific score floors (e.g., a FinTech employer may require a minimum quantitative domain score within the IRI).</w:t>
      </w:r>
    </w:p>
    <w:p>
      <w:pPr>
        <w:pStyle w:val="ListParagraph"/>
        <w:numPr>
          <w:ilvl w:val="0"/>
          <w:numId w:val="2"/>
        </w:numPr>
        <w:spacing w:before="60" w:after="60"/>
      </w:pPr>
      <w:r>
        <w:rPr>
          <w:rFonts w:ascii="Arial" w:cs="Arial" w:eastAsia="Arial" w:hAnsi="Arial"/>
          <w:sz w:val="22"/>
          <w:szCs w:val="22"/>
        </w:rPr>
        <w:t xml:space="preserve">Behavioral compliance floor from GD data (e.g., minimum turn completion rate, maximum interrupt penalties).</w:t>
      </w:r>
    </w:p>
    <w:p>
      <w:pPr>
        <w:spacing w:before="80" w:after="0"/>
      </w:pPr>
      <w:r>
        <w:t xml:space="preserve"/>
      </w:r>
    </w:p>
    <w:p>
      <w:pPr>
        <w:spacing w:before="80" w:after="80"/>
        <w:jc w:val="both"/>
      </w:pPr>
      <w:r>
        <w:rPr>
          <w:rFonts w:ascii="Arial" w:cs="Arial" w:eastAsia="Arial" w:hAnsi="Arial"/>
          <w:sz w:val="22"/>
          <w:szCs w:val="22"/>
        </w:rPr>
        <w:t xml:space="preserve">When employer thresholds are configured, the platform automatically generates Employer Fit Scores for each student against each registered employer's profile. Students are notified when they cross an employer's threshold — creating a transparent, goal-oriented preparation incentive.</w:t>
      </w:r>
    </w:p>
    <w:p>
      <w:pPr>
        <w:spacing w:before="80" w:after="0"/>
      </w:pPr>
      <w:r>
        <w:t xml:space="preserve"/>
      </w:r>
    </w:p>
    <w:p>
      <w:pPr>
        <w:spacing w:before="200" w:after="100"/>
      </w:pPr>
      <w:r>
        <w:rPr>
          <w:rFonts w:ascii="Arial" w:cs="Arial" w:eastAsia="Arial" w:hAnsi="Arial"/>
          <w:b/>
          <w:bCs/>
          <w:color w:val="1B3A6B"/>
          <w:sz w:val="24"/>
          <w:szCs w:val="24"/>
        </w:rPr>
        <w:t xml:space="preserve">C. Placement Funnel Analytics</w:t>
      </w:r>
    </w:p>
    <w:p>
      <w:pPr>
        <w:spacing w:before="80" w:after="80"/>
        <w:jc w:val="both"/>
      </w:pPr>
      <w:r>
        <w:rPr>
          <w:rFonts w:ascii="Arial" w:cs="Arial" w:eastAsia="Arial" w:hAnsi="Arial"/>
          <w:sz w:val="22"/>
          <w:szCs w:val="22"/>
        </w:rPr>
        <w:t xml:space="preserve">The system tracks every stage of the placement process with full funnel visibility for institutions: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21"/>
                <w:szCs w:val="21"/>
              </w:rPr>
              <w:t xml:space="preserve">Funnel Stage</w:t>
            </w:r>
          </w:p>
        </w:tc>
        <w:tc>
          <w:tcPr>
            <w:tcW w:type="dxa" w:w="31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21"/>
                <w:szCs w:val="21"/>
              </w:rPr>
              <w:t xml:space="preserve">System Trigger</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color w:val="FFFFFF"/>
                <w:sz w:val="21"/>
                <w:szCs w:val="21"/>
              </w:rPr>
              <w:t xml:space="preserve">Analytics Output</w:t>
            </w:r>
          </w:p>
        </w:tc>
      </w:tr>
      <w:tr>
        <w:tc>
          <w:tcPr>
            <w:tcW w:type="dxa" w:w="320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r>
              <w:rPr>
                <w:rFonts w:ascii="Arial" w:cs="Arial" w:eastAsia="Arial" w:hAnsi="Arial"/>
                <w:b/>
                <w:bCs/>
                <w:sz w:val="20"/>
                <w:szCs w:val="20"/>
              </w:rPr>
              <w:t xml:space="preserve">Enrolled</w:t>
            </w:r>
          </w:p>
        </w:tc>
        <w:tc>
          <w:tcPr>
            <w:tcW w:type="dxa" w:w="316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r>
              <w:rPr>
                <w:rFonts w:ascii="Arial" w:cs="Arial" w:eastAsia="Arial" w:hAnsi="Arial"/>
                <w:sz w:val="20"/>
                <w:szCs w:val="20"/>
              </w:rPr>
              <w:t xml:space="preserve">Student onboards to platform</w:t>
            </w:r>
          </w:p>
        </w:tc>
        <w:tc>
          <w:tcPr>
            <w:tcW w:type="dxa" w:w="300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r>
              <w:rPr>
                <w:rFonts w:ascii="Arial" w:cs="Arial" w:eastAsia="Arial" w:hAnsi="Arial"/>
                <w:sz w:val="20"/>
                <w:szCs w:val="20"/>
              </w:rPr>
              <w:t xml:space="preserve">Baseline IRI/RQS/InRI captured</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r>
              <w:rPr>
                <w:rFonts w:ascii="Arial" w:cs="Arial" w:eastAsia="Arial" w:hAnsi="Arial"/>
                <w:b/>
                <w:bCs/>
                <w:sz w:val="20"/>
                <w:szCs w:val="20"/>
              </w:rPr>
              <w:t xml:space="preserve">Placement Eligible</w:t>
            </w:r>
          </w:p>
        </w:tc>
        <w:tc>
          <w:tcPr>
            <w:tcW w:type="dxa" w:w="3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r>
              <w:rPr>
                <w:rFonts w:ascii="Arial" w:cs="Arial" w:eastAsia="Arial" w:hAnsi="Arial"/>
                <w:sz w:val="20"/>
                <w:szCs w:val="20"/>
              </w:rPr>
              <w:t xml:space="preserve">All minimum readiness thresholds met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r>
              <w:rPr>
                <w:rFonts w:ascii="Arial" w:cs="Arial" w:eastAsia="Arial" w:hAnsi="Arial"/>
                <w:sz w:val="20"/>
                <w:szCs w:val="20"/>
              </w:rPr>
              <w:t xml:space="preserve">Eligible pool count by role</w:t>
            </w:r>
          </w:p>
        </w:tc>
      </w:tr>
      <w:tr>
        <w:tc>
          <w:tcPr>
            <w:tcW w:type="dxa" w:w="320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r>
              <w:rPr>
                <w:rFonts w:ascii="Arial" w:cs="Arial" w:eastAsia="Arial" w:hAnsi="Arial"/>
                <w:b/>
                <w:bCs/>
                <w:sz w:val="20"/>
                <w:szCs w:val="20"/>
              </w:rPr>
              <w:t xml:space="preserve">Profile Viewed by Employer</w:t>
            </w:r>
          </w:p>
        </w:tc>
        <w:tc>
          <w:tcPr>
            <w:tcW w:type="dxa" w:w="316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r>
              <w:rPr>
                <w:rFonts w:ascii="Arial" w:cs="Arial" w:eastAsia="Arial" w:hAnsi="Arial"/>
                <w:sz w:val="20"/>
                <w:szCs w:val="20"/>
              </w:rPr>
              <w:t xml:space="preserve">Employer accesses candidate profile</w:t>
            </w:r>
          </w:p>
        </w:tc>
        <w:tc>
          <w:tcPr>
            <w:tcW w:type="dxa" w:w="300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r>
              <w:rPr>
                <w:rFonts w:ascii="Arial" w:cs="Arial" w:eastAsia="Arial" w:hAnsi="Arial"/>
                <w:sz w:val="20"/>
                <w:szCs w:val="20"/>
              </w:rPr>
              <w:t xml:space="preserve">Employer interest signal logged</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r>
              <w:rPr>
                <w:rFonts w:ascii="Arial" w:cs="Arial" w:eastAsia="Arial" w:hAnsi="Arial"/>
                <w:b/>
                <w:bCs/>
                <w:sz w:val="20"/>
                <w:szCs w:val="20"/>
              </w:rPr>
              <w:t xml:space="preserve">Interview Scheduled</w:t>
            </w:r>
          </w:p>
        </w:tc>
        <w:tc>
          <w:tcPr>
            <w:tcW w:type="dxa" w:w="3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r>
              <w:rPr>
                <w:rFonts w:ascii="Arial" w:cs="Arial" w:eastAsia="Arial" w:hAnsi="Arial"/>
                <w:sz w:val="20"/>
                <w:szCs w:val="20"/>
              </w:rPr>
              <w:t xml:space="preserve">Employer confirms interview via platform</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r>
              <w:rPr>
                <w:rFonts w:ascii="Arial" w:cs="Arial" w:eastAsia="Arial" w:hAnsi="Arial"/>
                <w:sz w:val="20"/>
                <w:szCs w:val="20"/>
              </w:rPr>
              <w:t xml:space="preserve">Time-to-interview from eligibility</w:t>
            </w:r>
          </w:p>
        </w:tc>
      </w:tr>
      <w:tr>
        <w:tc>
          <w:tcPr>
            <w:tcW w:type="dxa" w:w="320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r>
              <w:rPr>
                <w:rFonts w:ascii="Arial" w:cs="Arial" w:eastAsia="Arial" w:hAnsi="Arial"/>
                <w:b/>
                <w:bCs/>
                <w:sz w:val="20"/>
                <w:szCs w:val="20"/>
              </w:rPr>
              <w:t xml:space="preserve">Interview Completed</w:t>
            </w:r>
          </w:p>
        </w:tc>
        <w:tc>
          <w:tcPr>
            <w:tcW w:type="dxa" w:w="316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r>
              <w:rPr>
                <w:rFonts w:ascii="Arial" w:cs="Arial" w:eastAsia="Arial" w:hAnsi="Arial"/>
                <w:sz w:val="20"/>
                <w:szCs w:val="20"/>
              </w:rPr>
              <w:t xml:space="preserve">Session marked complete</w:t>
            </w:r>
          </w:p>
        </w:tc>
        <w:tc>
          <w:tcPr>
            <w:tcW w:type="dxa" w:w="300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r>
              <w:rPr>
                <w:rFonts w:ascii="Arial" w:cs="Arial" w:eastAsia="Arial" w:hAnsi="Arial"/>
                <w:sz w:val="20"/>
                <w:szCs w:val="20"/>
              </w:rPr>
              <w:t xml:space="preserve">Interview completion rate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r>
              <w:rPr>
                <w:rFonts w:ascii="Arial" w:cs="Arial" w:eastAsia="Arial" w:hAnsi="Arial"/>
                <w:b/>
                <w:bCs/>
                <w:sz w:val="20"/>
                <w:szCs w:val="20"/>
              </w:rPr>
              <w:t xml:space="preserve">Offer Extended</w:t>
            </w:r>
          </w:p>
        </w:tc>
        <w:tc>
          <w:tcPr>
            <w:tcW w:type="dxa" w:w="3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r>
              <w:rPr>
                <w:rFonts w:ascii="Arial" w:cs="Arial" w:eastAsia="Arial" w:hAnsi="Arial"/>
                <w:sz w:val="20"/>
                <w:szCs w:val="20"/>
              </w:rPr>
              <w:t xml:space="preserve">Employer logs offer via platform</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r>
              <w:rPr>
                <w:rFonts w:ascii="Arial" w:cs="Arial" w:eastAsia="Arial" w:hAnsi="Arial"/>
                <w:sz w:val="20"/>
                <w:szCs w:val="20"/>
              </w:rPr>
              <w:t xml:space="preserve">Offer rate by IRI/InRI band</w:t>
            </w:r>
          </w:p>
        </w:tc>
      </w:tr>
      <w:tr>
        <w:tc>
          <w:tcPr>
            <w:tcW w:type="dxa" w:w="320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r>
              <w:rPr>
                <w:rFonts w:ascii="Arial" w:cs="Arial" w:eastAsia="Arial" w:hAnsi="Arial"/>
                <w:b/>
                <w:bCs/>
                <w:sz w:val="20"/>
                <w:szCs w:val="20"/>
              </w:rPr>
              <w:t xml:space="preserve">Offer Accepted</w:t>
            </w:r>
          </w:p>
        </w:tc>
        <w:tc>
          <w:tcPr>
            <w:tcW w:type="dxa" w:w="316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r>
              <w:rPr>
                <w:rFonts w:ascii="Arial" w:cs="Arial" w:eastAsia="Arial" w:hAnsi="Arial"/>
                <w:sz w:val="20"/>
                <w:szCs w:val="20"/>
              </w:rPr>
              <w:t xml:space="preserve">Student confirms acceptance</w:t>
            </w:r>
          </w:p>
        </w:tc>
        <w:tc>
          <w:tcPr>
            <w:tcW w:type="dxa" w:w="3000"/>
            <w:tcBorders>
              <w:top w:val="single" w:color="CCCCCC" w:sz="1"/>
              <w:left w:val="single" w:color="CCCCCC" w:sz="1"/>
              <w:bottom w:val="single" w:color="CCCCCC" w:sz="1"/>
              <w:right w:val="single" w:color="CCCCCC" w:sz="1"/>
            </w:tcBorders>
            <w:shd w:fill="EBF1F9" w:val="clear"/>
            <w:tcMar>
              <w:top w:type="dxa" w:w="90"/>
              <w:left w:type="dxa" w:w="160"/>
              <w:bottom w:type="dxa" w:w="90"/>
              <w:right w:type="dxa" w:w="120"/>
            </w:tcMar>
          </w:tcPr>
          <w:p>
            <w:r>
              <w:rPr>
                <w:rFonts w:ascii="Arial" w:cs="Arial" w:eastAsia="Arial" w:hAnsi="Arial"/>
                <w:sz w:val="20"/>
                <w:szCs w:val="20"/>
              </w:rPr>
              <w:t xml:space="preserve">Placement rate; match quality score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r>
              <w:rPr>
                <w:rFonts w:ascii="Arial" w:cs="Arial" w:eastAsia="Arial" w:hAnsi="Arial"/>
                <w:b/>
                <w:bCs/>
                <w:sz w:val="20"/>
                <w:szCs w:val="20"/>
              </w:rPr>
              <w:t xml:space="preserve">Post-Hire Feedback</w:t>
            </w:r>
          </w:p>
        </w:tc>
        <w:tc>
          <w:tcPr>
            <w:tcW w:type="dxa" w:w="3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r>
              <w:rPr>
                <w:rFonts w:ascii="Arial" w:cs="Arial" w:eastAsia="Arial" w:hAnsi="Arial"/>
                <w:sz w:val="20"/>
                <w:szCs w:val="20"/>
              </w:rPr>
              <w:t xml:space="preserve">Employer submits 90-day performance rating</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20"/>
            </w:tcMar>
          </w:tcPr>
          <w:p>
            <w:r>
              <w:rPr>
                <w:rFonts w:ascii="Arial" w:cs="Arial" w:eastAsia="Arial" w:hAnsi="Arial"/>
                <w:sz w:val="20"/>
                <w:szCs w:val="20"/>
              </w:rPr>
              <w:t xml:space="preserve">Feedback integrated into benchmark calibration</w:t>
            </w:r>
          </w:p>
        </w:tc>
      </w:tr>
    </w:tbl>
    <w:p>
      <w:pPr>
        <w:spacing w:before="120" w:after="0"/>
      </w:pPr>
      <w:r>
        <w:t xml:space="preserve"/>
      </w:r>
    </w:p>
    <w:p>
      <w:pPr>
        <w:spacing w:before="200" w:after="100"/>
      </w:pPr>
      <w:r>
        <w:rPr>
          <w:rFonts w:ascii="Arial" w:cs="Arial" w:eastAsia="Arial" w:hAnsi="Arial"/>
          <w:b/>
          <w:bCs/>
          <w:color w:val="1B3A6B"/>
          <w:sz w:val="24"/>
          <w:szCs w:val="24"/>
        </w:rPr>
        <w:t xml:space="preserve">D. Post-Hire Feedback Loop</w:t>
      </w:r>
    </w:p>
    <w:p>
      <w:pPr>
        <w:spacing w:before="80" w:after="80"/>
        <w:jc w:val="both"/>
      </w:pPr>
      <w:r>
        <w:rPr>
          <w:rFonts w:ascii="Arial" w:cs="Arial" w:eastAsia="Arial" w:hAnsi="Arial"/>
          <w:sz w:val="22"/>
          <w:szCs w:val="22"/>
        </w:rPr>
        <w:t xml:space="preserve">Employer Readiness Analytics is the only feature in Section K that extends beyond the placement event itself. The post-hire feedback loop is the mechanism by which real-world employment outcomes are fed back into the platform's readiness models:</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At 30, 60, and 90 days post-hire, employers receive structured feedback requests for each placed candidate. Feedback is captured on a standardized rubric covering: job performance ramp-up speed, communication effectiveness, technical proficiency on the job, and integration with team dynamics.</w:t>
      </w:r>
    </w:p>
    <w:p>
      <w:pPr>
        <w:pStyle w:val="ListParagraph"/>
        <w:numPr>
          <w:ilvl w:val="0"/>
          <w:numId w:val="2"/>
        </w:numPr>
        <w:spacing w:before="60" w:after="60"/>
      </w:pPr>
      <w:r>
        <w:rPr>
          <w:rFonts w:ascii="Arial" w:cs="Arial" w:eastAsia="Arial" w:hAnsi="Arial"/>
          <w:sz w:val="22"/>
          <w:szCs w:val="22"/>
        </w:rPr>
        <w:t xml:space="preserve">Feedback scores are aggregated anonymously across employers and mapped back to the readiness indicators that were active at the time of hiring.</w:t>
      </w:r>
    </w:p>
    <w:p>
      <w:pPr>
        <w:pStyle w:val="ListParagraph"/>
        <w:numPr>
          <w:ilvl w:val="0"/>
          <w:numId w:val="2"/>
        </w:numPr>
        <w:spacing w:before="60" w:after="60"/>
      </w:pPr>
      <w:r>
        <w:rPr>
          <w:rFonts w:ascii="Arial" w:cs="Arial" w:eastAsia="Arial" w:hAnsi="Arial"/>
          <w:sz w:val="22"/>
          <w:szCs w:val="22"/>
        </w:rPr>
        <w:t xml:space="preserve">Statistical correlation analysis identifies which readiness metrics are the strongest predictors of post-hire success for specific role types. This recalibrates the weighting of those metrics in future IRI, RQS, and InRI computations.</w:t>
      </w:r>
    </w:p>
    <w:p>
      <w:pPr>
        <w:pStyle w:val="ListParagraph"/>
        <w:numPr>
          <w:ilvl w:val="0"/>
          <w:numId w:val="2"/>
        </w:numPr>
        <w:spacing w:before="60" w:after="60"/>
      </w:pPr>
      <w:r>
        <w:rPr>
          <w:rFonts w:ascii="Arial" w:cs="Arial" w:eastAsia="Arial" w:hAnsi="Arial"/>
          <w:sz w:val="22"/>
          <w:szCs w:val="22"/>
        </w:rPr>
        <w:t xml:space="preserve">Institutions receive a Placement Quality Report that distinguishes between 'placed' (offer received) and 'successfully placed' (positive 90-day feedback). This is a more honest and strategically valuable institutional metric than raw placement percentage.</w:t>
      </w:r>
    </w:p>
    <w:p>
      <w:pPr>
        <w:spacing w:before="80" w:after="0"/>
      </w:pPr>
      <w:r>
        <w:t xml:space="preserve"/>
      </w:r>
    </w:p>
    <w:p>
      <w:pPr>
        <w:spacing w:before="200" w:after="100"/>
      </w:pPr>
      <w:r>
        <w:rPr>
          <w:rFonts w:ascii="Arial" w:cs="Arial" w:eastAsia="Arial" w:hAnsi="Arial"/>
          <w:b/>
          <w:bCs/>
          <w:color w:val="1B3A6B"/>
          <w:sz w:val="24"/>
          <w:szCs w:val="24"/>
        </w:rPr>
        <w:t xml:space="preserve">E. Employer Partner Management</w:t>
      </w:r>
    </w:p>
    <w:p>
      <w:pPr>
        <w:spacing w:before="80" w:after="80"/>
        <w:jc w:val="both"/>
      </w:pPr>
      <w:r>
        <w:rPr>
          <w:rFonts w:ascii="Arial" w:cs="Arial" w:eastAsia="Arial" w:hAnsi="Arial"/>
          <w:sz w:val="22"/>
          <w:szCs w:val="22"/>
        </w:rPr>
        <w:t xml:space="preserve">The institution administrator manages the employer partner network through:</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Employer profile creation and role taxonomy mapping.</w:t>
      </w:r>
    </w:p>
    <w:p>
      <w:pPr>
        <w:pStyle w:val="ListParagraph"/>
        <w:numPr>
          <w:ilvl w:val="0"/>
          <w:numId w:val="2"/>
        </w:numPr>
        <w:spacing w:before="60" w:after="60"/>
      </w:pPr>
      <w:r>
        <w:rPr>
          <w:rFonts w:ascii="Arial" w:cs="Arial" w:eastAsia="Arial" w:hAnsi="Arial"/>
          <w:sz w:val="22"/>
          <w:szCs w:val="22"/>
        </w:rPr>
        <w:t xml:space="preserve">Access tier configuration: which readiness data is visible to which employer, with student consent management integrated.</w:t>
      </w:r>
    </w:p>
    <w:p>
      <w:pPr>
        <w:pStyle w:val="ListParagraph"/>
        <w:numPr>
          <w:ilvl w:val="0"/>
          <w:numId w:val="2"/>
        </w:numPr>
        <w:spacing w:before="60" w:after="60"/>
      </w:pPr>
      <w:r>
        <w:rPr>
          <w:rFonts w:ascii="Arial" w:cs="Arial" w:eastAsia="Arial" w:hAnsi="Arial"/>
          <w:sz w:val="22"/>
          <w:szCs w:val="22"/>
        </w:rPr>
        <w:t xml:space="preserve">Engagement analytics: how often employers access the platform, which student profiles are viewed most, and which employer threshold configurations generate the highest student motivation response.</w:t>
      </w:r>
    </w:p>
    <w:p>
      <w:pPr>
        <w:pStyle w:val="ListParagraph"/>
        <w:numPr>
          <w:ilvl w:val="0"/>
          <w:numId w:val="2"/>
        </w:numPr>
        <w:spacing w:before="60" w:after="60"/>
      </w:pPr>
      <w:r>
        <w:rPr>
          <w:rFonts w:ascii="Arial" w:cs="Arial" w:eastAsia="Arial" w:hAnsi="Arial"/>
          <w:sz w:val="22"/>
          <w:szCs w:val="22"/>
        </w:rPr>
        <w:t xml:space="preserve">Partner health scoring: a composite metric of employer engagement frequency, feedback submission rate, and historical placement volume — helping institutions prioritize partnership investment.</w:t>
      </w:r>
    </w:p>
    <w:p>
      <w:pPr>
        <w:spacing w:before="120" w:after="0"/>
      </w:pPr>
      <w:r>
        <w:t xml:space="preserve"/>
      </w:r>
    </w:p>
    <w:p>
      <w:pPr>
        <w:pStyle w:val="Heading2"/>
        <w:spacing w:before="280" w:after="140"/>
      </w:pPr>
      <w:r>
        <w:rPr>
          <w:rFonts w:ascii="Arial" w:cs="Arial" w:eastAsia="Arial" w:hAnsi="Arial"/>
          <w:b/>
          <w:bCs/>
          <w:color w:val="2E5FA3"/>
          <w:sz w:val="28"/>
          <w:szCs w:val="28"/>
        </w:rPr>
        <w:t xml:space="preserve">5.3  Privacy &amp; Consent Architecture</w:t>
      </w:r>
    </w:p>
    <w:p>
      <w:pPr>
        <w:spacing w:before="80" w:after="80"/>
        <w:jc w:val="both"/>
      </w:pPr>
      <w:r>
        <w:rPr>
          <w:rFonts w:ascii="Arial" w:cs="Arial" w:eastAsia="Arial" w:hAnsi="Arial"/>
          <w:sz w:val="22"/>
          <w:szCs w:val="22"/>
        </w:rPr>
        <w:t xml:space="preserve">Employer visibility into candidate data is governed by a layered consent model:</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Tier 1 — Aggregate Only: Employers see cohort-level statistics and trends. No individual student data is exposed. Default for all employers.</w:t>
      </w:r>
    </w:p>
    <w:p>
      <w:pPr>
        <w:pStyle w:val="ListParagraph"/>
        <w:numPr>
          <w:ilvl w:val="0"/>
          <w:numId w:val="2"/>
        </w:numPr>
        <w:spacing w:before="60" w:after="60"/>
      </w:pPr>
      <w:r>
        <w:rPr>
          <w:rFonts w:ascii="Arial" w:cs="Arial" w:eastAsia="Arial" w:hAnsi="Arial"/>
          <w:sz w:val="22"/>
          <w:szCs w:val="22"/>
        </w:rPr>
        <w:t xml:space="preserve">Tier 2 — Anonymous Profile: Individual candidate scores (IRI, RQS, InRI) are visible without identifying information. Employers can flag interest; students are notified and choose whether to reveal identity.</w:t>
      </w:r>
    </w:p>
    <w:p>
      <w:pPr>
        <w:pStyle w:val="ListParagraph"/>
        <w:numPr>
          <w:ilvl w:val="0"/>
          <w:numId w:val="2"/>
        </w:numPr>
        <w:spacing w:before="60" w:after="60"/>
      </w:pPr>
      <w:r>
        <w:rPr>
          <w:rFonts w:ascii="Arial" w:cs="Arial" w:eastAsia="Arial" w:hAnsi="Arial"/>
          <w:sz w:val="22"/>
          <w:szCs w:val="22"/>
        </w:rPr>
        <w:t xml:space="preserve">Tier 3 — Full Profile: Student has explicitly opted in, and employer has confirmed interest. Full readiness profile, resume, and contact details are released.</w:t>
      </w:r>
    </w:p>
    <w:p>
      <w:pPr>
        <w:spacing w:before="80" w:after="0"/>
      </w:pPr>
      <w:r>
        <w:t xml:space="preserve"/>
      </w:r>
    </w:p>
    <w:p>
      <w:pPr>
        <w:spacing w:before="80" w:after="80"/>
        <w:jc w:val="both"/>
      </w:pPr>
      <w:r>
        <w:rPr>
          <w:rFonts w:ascii="Arial" w:cs="Arial" w:eastAsia="Arial" w:hAnsi="Arial"/>
          <w:sz w:val="22"/>
          <w:szCs w:val="22"/>
        </w:rPr>
        <w:t xml:space="preserve">This consent model ensures that the platform complies with data protection principles while still providing employers with meaningful signal for their hiring decisions. Students retain agency over their data at every stage.</w:t>
      </w:r>
    </w:p>
    <w:p>
      <w:pPr>
        <w:spacing w:before="120" w:after="0"/>
      </w:pPr>
      <w:r>
        <w:t xml:space="preserve"/>
      </w:r>
    </w:p>
    <w:p>
      <w:pPr>
        <w:pStyle w:val="Heading2"/>
        <w:spacing w:before="280" w:after="140"/>
      </w:pPr>
      <w:r>
        <w:rPr>
          <w:rFonts w:ascii="Arial" w:cs="Arial" w:eastAsia="Arial" w:hAnsi="Arial"/>
          <w:b/>
          <w:bCs/>
          <w:color w:val="2E5FA3"/>
          <w:sz w:val="28"/>
          <w:szCs w:val="28"/>
        </w:rPr>
        <w:t xml:space="preserve">5.4  Data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1F9" w:val="clear"/>
            <w:tcMar>
              <w:top w:type="dxa" w:w="100"/>
              <w:left w:type="dxa" w:w="160"/>
              <w:bottom w:type="dxa" w:w="100"/>
              <w:right w:type="dxa" w:w="120"/>
            </w:tcMar>
          </w:tcPr>
          <w:p>
            <w:r>
              <w:rPr>
                <w:rFonts w:ascii="Arial" w:cs="Arial" w:eastAsia="Arial" w:hAnsi="Arial"/>
                <w:b/>
                <w:bCs/>
                <w:color w:val="1B3A6B"/>
                <w:sz w:val="21"/>
                <w:szCs w:val="21"/>
              </w:rPr>
              <w:t xml:space="preserve">Primary Inputs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IRI/RQS/InRI scores, placement event logs, employer threshold configs, post-hire feedback</w:t>
            </w:r>
          </w:p>
        </w:tc>
      </w:tr>
      <w:tr>
        <w:tc>
          <w:tcPr>
            <w:tcW w:type="dxa" w:w="2800"/>
            <w:tcBorders>
              <w:top w:val="single" w:color="CCCCCC" w:sz="1"/>
              <w:left w:val="single" w:color="CCCCCC" w:sz="1"/>
              <w:bottom w:val="single" w:color="CCCCCC" w:sz="1"/>
              <w:right w:val="single" w:color="CCCCCC" w:sz="1"/>
            </w:tcBorders>
            <w:shd w:fill="F5F8FD" w:val="clear"/>
            <w:tcMar>
              <w:top w:type="dxa" w:w="100"/>
              <w:left w:type="dxa" w:w="160"/>
              <w:bottom w:type="dxa" w:w="100"/>
              <w:right w:type="dxa" w:w="120"/>
            </w:tcMar>
          </w:tcPr>
          <w:p>
            <w:r>
              <w:rPr>
                <w:rFonts w:ascii="Arial" w:cs="Arial" w:eastAsia="Arial" w:hAnsi="Arial"/>
                <w:b/>
                <w:bCs/>
                <w:color w:val="1B3A6B"/>
                <w:sz w:val="21"/>
                <w:szCs w:val="21"/>
              </w:rPr>
              <w:t xml:space="preserve">Analytics Engine</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60"/>
              <w:bottom w:type="dxa" w:w="100"/>
              <w:right w:type="dxa" w:w="120"/>
            </w:tcMar>
          </w:tcPr>
          <w:p>
            <w:r>
              <w:rPr>
                <w:rFonts w:ascii="Arial" w:cs="Arial" w:eastAsia="Arial" w:hAnsi="Arial"/>
                <w:sz w:val="21"/>
                <w:szCs w:val="21"/>
              </w:rPr>
              <w:t xml:space="preserve">Rule-based aggregation, funnel computation, and correlation tracking; no black-box ML inference</w:t>
            </w:r>
          </w:p>
        </w:tc>
      </w:tr>
      <w:tr>
        <w:tc>
          <w:tcPr>
            <w:tcW w:type="dxa" w:w="2800"/>
            <w:tcBorders>
              <w:top w:val="single" w:color="CCCCCC" w:sz="1"/>
              <w:left w:val="single" w:color="CCCCCC" w:sz="1"/>
              <w:bottom w:val="single" w:color="CCCCCC" w:sz="1"/>
              <w:right w:val="single" w:color="CCCCCC" w:sz="1"/>
            </w:tcBorders>
            <w:shd w:fill="EBF1F9" w:val="clear"/>
            <w:tcMar>
              <w:top w:type="dxa" w:w="100"/>
              <w:left w:type="dxa" w:w="160"/>
              <w:bottom w:type="dxa" w:w="100"/>
              <w:right w:type="dxa" w:w="120"/>
            </w:tcMar>
          </w:tcPr>
          <w:p>
            <w:r>
              <w:rPr>
                <w:rFonts w:ascii="Arial" w:cs="Arial" w:eastAsia="Arial" w:hAnsi="Arial"/>
                <w:b/>
                <w:bCs/>
                <w:color w:val="1B3A6B"/>
                <w:sz w:val="21"/>
                <w:szCs w:val="21"/>
              </w:rPr>
              <w:t xml:space="preserve">Feedback Cycle Period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30 / 60 / 90 days post-hire; structured rubric submission via employer portal</w:t>
            </w:r>
          </w:p>
        </w:tc>
      </w:tr>
      <w:tr>
        <w:tc>
          <w:tcPr>
            <w:tcW w:type="dxa" w:w="2800"/>
            <w:tcBorders>
              <w:top w:val="single" w:color="CCCCCC" w:sz="1"/>
              <w:left w:val="single" w:color="CCCCCC" w:sz="1"/>
              <w:bottom w:val="single" w:color="CCCCCC" w:sz="1"/>
              <w:right w:val="single" w:color="CCCCCC" w:sz="1"/>
            </w:tcBorders>
            <w:shd w:fill="F5F8FD" w:val="clear"/>
            <w:tcMar>
              <w:top w:type="dxa" w:w="100"/>
              <w:left w:type="dxa" w:w="160"/>
              <w:bottom w:type="dxa" w:w="100"/>
              <w:right w:type="dxa" w:w="120"/>
            </w:tcMar>
          </w:tcPr>
          <w:p>
            <w:r>
              <w:rPr>
                <w:rFonts w:ascii="Arial" w:cs="Arial" w:eastAsia="Arial" w:hAnsi="Arial"/>
                <w:b/>
                <w:bCs/>
                <w:color w:val="1B3A6B"/>
                <w:sz w:val="21"/>
                <w:szCs w:val="21"/>
              </w:rPr>
              <w:t xml:space="preserve">Benchmark Recalibration</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60"/>
              <w:bottom w:type="dxa" w:w="100"/>
              <w:right w:type="dxa" w:w="120"/>
            </w:tcMar>
          </w:tcPr>
          <w:p>
            <w:r>
              <w:rPr>
                <w:rFonts w:ascii="Arial" w:cs="Arial" w:eastAsia="Arial" w:hAnsi="Arial"/>
                <w:sz w:val="21"/>
                <w:szCs w:val="21"/>
              </w:rPr>
              <w:t xml:space="preserve">Quarterly; weighting adjustments applied after statistical significance threshold is reached</w:t>
            </w:r>
          </w:p>
        </w:tc>
      </w:tr>
      <w:tr>
        <w:tc>
          <w:tcPr>
            <w:tcW w:type="dxa" w:w="2800"/>
            <w:tcBorders>
              <w:top w:val="single" w:color="CCCCCC" w:sz="1"/>
              <w:left w:val="single" w:color="CCCCCC" w:sz="1"/>
              <w:bottom w:val="single" w:color="CCCCCC" w:sz="1"/>
              <w:right w:val="single" w:color="CCCCCC" w:sz="1"/>
            </w:tcBorders>
            <w:shd w:fill="EBF1F9" w:val="clear"/>
            <w:tcMar>
              <w:top w:type="dxa" w:w="100"/>
              <w:left w:type="dxa" w:w="160"/>
              <w:bottom w:type="dxa" w:w="100"/>
              <w:right w:type="dxa" w:w="120"/>
            </w:tcMar>
          </w:tcPr>
          <w:p>
            <w:r>
              <w:rPr>
                <w:rFonts w:ascii="Arial" w:cs="Arial" w:eastAsia="Arial" w:hAnsi="Arial"/>
                <w:b/>
                <w:bCs/>
                <w:color w:val="1B3A6B"/>
                <w:sz w:val="21"/>
                <w:szCs w:val="21"/>
              </w:rPr>
              <w:t xml:space="preserve">Integration Points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All of K.1–K.4 (as data sources); External ATS via API; Institution HR systems (optional)</w:t>
            </w:r>
          </w:p>
        </w:tc>
      </w:tr>
      <w:tr>
        <w:tc>
          <w:tcPr>
            <w:tcW w:type="dxa" w:w="2800"/>
            <w:tcBorders>
              <w:top w:val="single" w:color="CCCCCC" w:sz="1"/>
              <w:left w:val="single" w:color="CCCCCC" w:sz="1"/>
              <w:bottom w:val="single" w:color="CCCCCC" w:sz="1"/>
              <w:right w:val="single" w:color="CCCCCC" w:sz="1"/>
            </w:tcBorders>
            <w:shd w:fill="F5F8FD" w:val="clear"/>
            <w:tcMar>
              <w:top w:type="dxa" w:w="100"/>
              <w:left w:type="dxa" w:w="160"/>
              <w:bottom w:type="dxa" w:w="100"/>
              <w:right w:type="dxa" w:w="120"/>
            </w:tcMar>
          </w:tcPr>
          <w:p>
            <w:r>
              <w:rPr>
                <w:rFonts w:ascii="Arial" w:cs="Arial" w:eastAsia="Arial" w:hAnsi="Arial"/>
                <w:b/>
                <w:bCs/>
                <w:color w:val="1B3A6B"/>
                <w:sz w:val="21"/>
                <w:szCs w:val="21"/>
              </w:rPr>
              <w:t xml:space="preserve">Audit Trail</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60"/>
              <w:bottom w:type="dxa" w:w="100"/>
              <w:right w:type="dxa" w:w="120"/>
            </w:tcMar>
          </w:tcPr>
          <w:p>
            <w:r>
              <w:rPr>
                <w:rFonts w:ascii="Arial" w:cs="Arial" w:eastAsia="Arial" w:hAnsi="Arial"/>
                <w:sz w:val="21"/>
                <w:szCs w:val="21"/>
              </w:rPr>
              <w:t xml:space="preserve">All employer data access events are logged with timestamp, employer ID, and data tier accessed</w:t>
            </w:r>
          </w:p>
        </w:tc>
      </w:tr>
    </w:tbl>
    <w:p>
      <w:r>
        <w:br w:type="page"/>
      </w:r>
    </w:p>
    <w:p>
      <w:pPr>
        <w:pBdr>
          <w:bottom w:val="single" w:color="2E5FA3" w:sz="8" w:space="1"/>
        </w:pBdr>
        <w:spacing w:before="300" w:after="200"/>
      </w:pPr>
      <w:r>
        <w:rPr>
          <w:rFonts w:ascii="Arial" w:cs="Arial" w:eastAsia="Arial" w:hAnsi="Arial"/>
          <w:b/>
          <w:bCs/>
          <w:color w:val="1B3A6B"/>
          <w:sz w:val="32"/>
          <w:szCs w:val="32"/>
        </w:rPr>
        <w:t xml:space="preserve">Section K — Integration Summary</w:t>
      </w:r>
    </w:p>
    <w:p>
      <w:pPr>
        <w:spacing w:before="120" w:after="0"/>
      </w:pPr>
      <w:r>
        <w:t xml:space="preserve"/>
      </w:r>
    </w:p>
    <w:p>
      <w:pPr>
        <w:spacing w:before="80" w:after="80"/>
        <w:jc w:val="both"/>
      </w:pPr>
      <w:r>
        <w:rPr>
          <w:rFonts w:ascii="Arial" w:cs="Arial" w:eastAsia="Arial" w:hAnsi="Arial"/>
          <w:sz w:val="22"/>
          <w:szCs w:val="22"/>
        </w:rPr>
        <w:t xml:space="preserve">The five features of Section K form an interconnected system where each feature both consumes and produces data for the others. The following diagram illustrates the primary data flows: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
        <w:gridCol w:w="3000"/>
        <w:gridCol w:w="200"/>
        <w:gridCol w:w="2960"/>
      </w:tblGrid>
      <w:tr>
        <w:tc>
          <w:tcPr>
            <w:tcW w:type="dxa" w:w="3000"/>
            <w:tcBorders>
              <w:top w:val="single" w:color="CCCCCC" w:sz="1"/>
              <w:left w:val="single" w:color="CCCCCC" w:sz="1"/>
              <w:bottom w:val="single" w:color="CCCCCC" w:sz="1"/>
              <w:right w:val="single" w:color="CCCCCC" w:sz="1"/>
            </w:tcBorders>
            <w:shd w:fill="EBF1F9" w:val="clear"/>
            <w:tcMar>
              <w:top w:type="dxa" w:w="120"/>
              <w:left w:type="dxa" w:w="160"/>
              <w:bottom w:type="dxa" w:w="120"/>
              <w:right w:type="dxa" w:w="120"/>
            </w:tcMar>
            <w:vAlign w:val="center"/>
          </w:tcPr>
          <w:p>
            <w:pPr>
              <w:jc w:val="center"/>
            </w:pPr>
            <w:r>
              <w:rPr>
                <w:rFonts w:ascii="Arial" w:cs="Arial" w:eastAsia="Arial" w:hAnsi="Arial"/>
                <w:b/>
                <w:bCs/>
                <w:color w:val="1B3A6B"/>
                <w:sz w:val="21"/>
                <w:szCs w:val="21"/>
              </w:rPr>
              <w:t xml:space="preserve">K.1 Internship Tracking</w:t>
            </w:r>
          </w:p>
          <w:p>
            <w:pPr>
              <w:jc w:val="center"/>
            </w:pPr>
            <w:r>
              <w:rPr>
                <w:rFonts w:ascii="Arial" w:cs="Arial" w:eastAsia="Arial" w:hAnsi="Arial"/>
                <w:color w:val="555555"/>
                <w:sz w:val="20"/>
                <w:szCs w:val="20"/>
              </w:rPr>
              <w:t xml:space="preserve">IRI Score</w:t>
            </w:r>
          </w:p>
        </w:tc>
        <w:tc>
          <w:tcPr>
            <w:tcW w:type="dxa" w:w="200"/>
            <w:tcBorders>
              <w:top w:val="none" w:color="FFFFFF" w:sz="0"/>
              <w:left w:val="none" w:color="FFFFFF" w:sz="0"/>
              <w:bottom w:val="none" w:color="FFFFFF" w:sz="0"/>
              <w:right w:val="none" w:color="FFFFFF" w:sz="0"/>
            </w:tcBorders>
            <w:tcMar>
              <w:top w:type="dxa" w:w="120"/>
              <w:left w:type="dxa" w:w="0"/>
              <w:bottom w:type="dxa" w:w="120"/>
              <w:right w:type="dxa" w:w="0"/>
            </w:tcMar>
            <w:vAlign w:val="center"/>
          </w:tcPr>
          <w:p>
            <w:pPr>
              <w:jc w:val="center"/>
            </w:pPr>
            <w:r>
              <w:rPr>
                <w:rFonts w:ascii="Arial" w:cs="Arial" w:eastAsia="Arial" w:hAnsi="Arial"/>
                <w:b/>
                <w:bCs/>
                <w:color w:val="2E5FA3"/>
                <w:sz w:val="26"/>
                <w:szCs w:val="26"/>
              </w:rPr>
              <w:t xml:space="preserve">+</w:t>
            </w:r>
          </w:p>
        </w:tc>
        <w:tc>
          <w:tcPr>
            <w:tcW w:type="dxa" w:w="3000"/>
            <w:tcBorders>
              <w:top w:val="single" w:color="CCCCCC" w:sz="1"/>
              <w:left w:val="single" w:color="CCCCCC" w:sz="1"/>
              <w:bottom w:val="single" w:color="CCCCCC" w:sz="1"/>
              <w:right w:val="single" w:color="CCCCCC" w:sz="1"/>
            </w:tcBorders>
            <w:shd w:fill="EBF1F9" w:val="clear"/>
            <w:tcMar>
              <w:top w:type="dxa" w:w="120"/>
              <w:left w:type="dxa" w:w="160"/>
              <w:bottom w:type="dxa" w:w="120"/>
              <w:right w:type="dxa" w:w="120"/>
            </w:tcMar>
            <w:vAlign w:val="center"/>
          </w:tcPr>
          <w:p>
            <w:pPr>
              <w:jc w:val="center"/>
            </w:pPr>
            <w:r>
              <w:rPr>
                <w:rFonts w:ascii="Arial" w:cs="Arial" w:eastAsia="Arial" w:hAnsi="Arial"/>
                <w:b/>
                <w:bCs/>
                <w:color w:val="1B3A6B"/>
                <w:sz w:val="21"/>
                <w:szCs w:val="21"/>
              </w:rPr>
              <w:t xml:space="preserve">K.2 Resume Monitoring</w:t>
            </w:r>
          </w:p>
          <w:p>
            <w:pPr>
              <w:jc w:val="center"/>
            </w:pPr>
            <w:r>
              <w:rPr>
                <w:rFonts w:ascii="Arial" w:cs="Arial" w:eastAsia="Arial" w:hAnsi="Arial"/>
                <w:color w:val="555555"/>
                <w:sz w:val="20"/>
                <w:szCs w:val="20"/>
              </w:rPr>
              <w:t xml:space="preserve">RQS Score</w:t>
            </w:r>
          </w:p>
        </w:tc>
        <w:tc>
          <w:tcPr>
            <w:tcW w:type="dxa" w:w="200"/>
            <w:tcBorders>
              <w:top w:val="none" w:color="FFFFFF" w:sz="0"/>
              <w:left w:val="none" w:color="FFFFFF" w:sz="0"/>
              <w:bottom w:val="none" w:color="FFFFFF" w:sz="0"/>
              <w:right w:val="none" w:color="FFFFFF" w:sz="0"/>
            </w:tcBorders>
            <w:tcMar>
              <w:top w:type="dxa" w:w="120"/>
              <w:left w:type="dxa" w:w="0"/>
              <w:bottom w:type="dxa" w:w="120"/>
              <w:right w:type="dxa" w:w="0"/>
            </w:tcMar>
            <w:vAlign w:val="center"/>
          </w:tcPr>
          <w:p>
            <w:pPr>
              <w:jc w:val="center"/>
            </w:pPr>
            <w:r>
              <w:rPr>
                <w:rFonts w:ascii="Arial" w:cs="Arial" w:eastAsia="Arial" w:hAnsi="Arial"/>
                <w:b/>
                <w:bCs/>
                <w:color w:val="2E5FA3"/>
                <w:sz w:val="26"/>
                <w:szCs w:val="26"/>
              </w:rPr>
              <w:t xml:space="preserve">+</w:t>
            </w:r>
          </w:p>
        </w:tc>
        <w:tc>
          <w:tcPr>
            <w:tcW w:type="dxa" w:w="2960"/>
            <w:tcBorders>
              <w:top w:val="single" w:color="CCCCCC" w:sz="1"/>
              <w:left w:val="single" w:color="CCCCCC" w:sz="1"/>
              <w:bottom w:val="single" w:color="CCCCCC" w:sz="1"/>
              <w:right w:val="single" w:color="CCCCCC" w:sz="1"/>
            </w:tcBorders>
            <w:shd w:fill="EBF1F9" w:val="clear"/>
            <w:tcMar>
              <w:top w:type="dxa" w:w="120"/>
              <w:left w:type="dxa" w:w="160"/>
              <w:bottom w:type="dxa" w:w="120"/>
              <w:right w:type="dxa" w:w="120"/>
            </w:tcMar>
            <w:vAlign w:val="center"/>
          </w:tcPr>
          <w:p>
            <w:pPr>
              <w:jc w:val="center"/>
            </w:pPr>
            <w:r>
              <w:rPr>
                <w:rFonts w:ascii="Arial" w:cs="Arial" w:eastAsia="Arial" w:hAnsi="Arial"/>
                <w:b/>
                <w:bCs/>
                <w:color w:val="1B3A6B"/>
                <w:sz w:val="21"/>
                <w:szCs w:val="21"/>
              </w:rPr>
              <w:t xml:space="preserve">K.3 Interview Tracking</w:t>
            </w:r>
          </w:p>
          <w:p>
            <w:pPr>
              <w:jc w:val="center"/>
            </w:pPr>
            <w:r>
              <w:rPr>
                <w:rFonts w:ascii="Arial" w:cs="Arial" w:eastAsia="Arial" w:hAnsi="Arial"/>
                <w:color w:val="555555"/>
                <w:sz w:val="20"/>
                <w:szCs w:val="20"/>
              </w:rPr>
              <w:t xml:space="preserve">InRI Score</w:t>
            </w:r>
          </w:p>
        </w:tc>
      </w:tr>
    </w:tbl>
    <w:p>
      <w:pPr>
        <w:spacing w:before="100" w:after="0"/>
      </w:pPr>
      <w:r>
        <w:t xml:space="preserve"/>
      </w:r>
    </w:p>
    <w:p>
      <w:pPr>
        <w:jc w:val="center"/>
      </w:pPr>
      <w:r>
        <w:rPr>
          <w:rFonts w:ascii="Arial" w:cs="Arial" w:eastAsia="Arial" w:hAnsi="Arial"/>
          <w:i/>
          <w:iCs/>
          <w:color w:val="555555"/>
          <w:sz w:val="22"/>
          <w:szCs w:val="22"/>
        </w:rPr>
        <w:t xml:space="preserve">All three scores feed into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0E4F5" w:val="clear"/>
            <w:tcMar>
              <w:top w:type="dxa" w:w="120"/>
              <w:left w:type="dxa" w:w="160"/>
              <w:bottom w:type="dxa" w:w="120"/>
              <w:right w:type="dxa" w:w="120"/>
            </w:tcMar>
            <w:vAlign w:val="center"/>
          </w:tcPr>
          <w:p>
            <w:pPr>
              <w:jc w:val="center"/>
            </w:pPr>
            <w:r>
              <w:rPr>
                <w:rFonts w:ascii="Arial" w:cs="Arial" w:eastAsia="Arial" w:hAnsi="Arial"/>
                <w:b/>
                <w:bCs/>
                <w:color w:val="1B3A6B"/>
                <w:sz w:val="22"/>
                <w:szCs w:val="22"/>
              </w:rPr>
              <w:t xml:space="preserve">K.4 Career Recommendation Reports</w:t>
            </w:r>
          </w:p>
          <w:p>
            <w:pPr>
              <w:jc w:val="center"/>
            </w:pPr>
            <w:r>
              <w:rPr>
                <w:rFonts w:ascii="Arial" w:cs="Arial" w:eastAsia="Arial" w:hAnsi="Arial"/>
                <w:color w:val="444444"/>
                <w:sz w:val="20"/>
                <w:szCs w:val="20"/>
              </w:rPr>
              <w:t xml:space="preserve">Personalized guidance for students, counselors, institution</w:t>
            </w:r>
          </w:p>
        </w:tc>
        <w:tc>
          <w:tcPr>
            <w:tcW w:type="dxa" w:w="4680"/>
            <w:tcBorders>
              <w:top w:val="single" w:color="CCCCCC" w:sz="1"/>
              <w:left w:val="single" w:color="CCCCCC" w:sz="1"/>
              <w:bottom w:val="single" w:color="CCCCCC" w:sz="1"/>
              <w:right w:val="single" w:color="CCCCCC" w:sz="1"/>
            </w:tcBorders>
            <w:shd w:fill="D0E4F5" w:val="clear"/>
            <w:tcMar>
              <w:top w:type="dxa" w:w="120"/>
              <w:left w:type="dxa" w:w="160"/>
              <w:bottom w:type="dxa" w:w="120"/>
              <w:right w:type="dxa" w:w="120"/>
            </w:tcMar>
            <w:vAlign w:val="center"/>
          </w:tcPr>
          <w:p>
            <w:pPr>
              <w:jc w:val="center"/>
            </w:pPr>
            <w:r>
              <w:rPr>
                <w:rFonts w:ascii="Arial" w:cs="Arial" w:eastAsia="Arial" w:hAnsi="Arial"/>
                <w:b/>
                <w:bCs/>
                <w:color w:val="1B3A6B"/>
                <w:sz w:val="22"/>
                <w:szCs w:val="22"/>
              </w:rPr>
              <w:t xml:space="preserve">K.5 Employer Readiness Analytics</w:t>
            </w:r>
          </w:p>
          <w:p>
            <w:pPr>
              <w:jc w:val="center"/>
            </w:pPr>
            <w:r>
              <w:rPr>
                <w:rFonts w:ascii="Arial" w:cs="Arial" w:eastAsia="Arial" w:hAnsi="Arial"/>
                <w:color w:val="444444"/>
                <w:sz w:val="20"/>
                <w:szCs w:val="20"/>
              </w:rPr>
              <w:t xml:space="preserve">Talent visibility, placement funnel, post-hire feedback loop</w:t>
            </w:r>
          </w:p>
        </w:tc>
      </w:tr>
    </w:tbl>
    <w:p>
      <w:pPr>
        <w:spacing w:before="160" w:after="0"/>
      </w:pPr>
      <w:r>
        <w:t xml:space="preserve"/>
      </w:r>
    </w:p>
    <w:p>
      <w:pPr>
        <w:spacing w:before="80" w:after="80"/>
        <w:jc w:val="both"/>
      </w:pPr>
      <w:r>
        <w:rPr>
          <w:rFonts w:ascii="Arial" w:cs="Arial" w:eastAsia="Arial" w:hAnsi="Arial"/>
          <w:sz w:val="22"/>
          <w:szCs w:val="22"/>
        </w:rPr>
        <w:t xml:space="preserve">This architecture ensures that no feature operates in isolation. Improvement in any one feature propagates upward into recommendation quality, employer visibility, and placement outcomes. The system is designed for compounding returns — the more diligently a student engages, the more precise and valuable the data-driven guidance becomes.</w:t>
      </w:r>
    </w:p>
    <w:p>
      <w:pPr>
        <w:spacing w:before="120" w:after="0"/>
      </w:pPr>
      <w:r>
        <w:t xml:space="preserve"/>
      </w:r>
    </w:p>
    <w:p>
      <w:pPr>
        <w:pBdr>
          <w:top w:val="single" w:color="2E5FA3" w:sz="4" w:space="8"/>
          <w:bottom w:val="single" w:color="2E5FA3" w:sz="4" w:space="8"/>
        </w:pBdr>
        <w:spacing w:before="200" w:after="200"/>
        <w:jc w:val="center"/>
      </w:pPr>
      <w:r>
        <w:rPr>
          <w:rFonts w:ascii="Arial" w:cs="Arial" w:eastAsia="Arial" w:hAnsi="Arial"/>
          <w:b/>
          <w:bCs/>
          <w:color w:val="1B3A6B"/>
          <w:sz w:val="22"/>
          <w:szCs w:val="22"/>
        </w:rPr>
        <w:t xml:space="preserve">End of Section K — Career &amp; Placement Preparation</w:t>
      </w:r>
    </w:p>
    <w:p>
      <w:pPr>
        <w:spacing w:before="80" w:after="80"/>
        <w:jc w:val="center"/>
      </w:pPr>
      <w:r>
        <w:rPr>
          <w:rFonts w:ascii="Arial" w:cs="Arial" w:eastAsia="Arial" w:hAnsi="Arial"/>
          <w:i/>
          <w:iCs/>
          <w:color w:val="888888"/>
          <w:sz w:val="20"/>
          <w:szCs w:val="20"/>
        </w:rPr>
        <w:t xml:space="preserve">This document is confidential and intended for internal platform development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2026-03-09T09:02:41.162Z</dcterms:created>
  <dcterms:modified xsi:type="dcterms:W3CDTF">2026-03-09T09:02:41.162Z</dcterms:modified>
</cp:coreProperties>
</file>

<file path=docProps/custom.xml><?xml version="1.0" encoding="utf-8"?>
<Properties xmlns="http://schemas.openxmlformats.org/officeDocument/2006/custom-properties" xmlns:vt="http://schemas.openxmlformats.org/officeDocument/2006/docPropsVTypes"/>
</file>