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0"/>
      </w:pPr>
      <w:r>
        <w:t xml:space="preserve"/>
      </w:r>
    </w:p>
    <w:p>
      <w:pPr>
        <w:spacing w:before="0" w:after="100"/>
        <w:jc w:val="center"/>
      </w:pPr>
      <w:r>
        <w:rPr>
          <w:rFonts w:ascii="Arial" w:cs="Arial" w:eastAsia="Arial" w:hAnsi="Arial"/>
          <w:b/>
          <w:bCs/>
          <w:caps/>
          <w:color w:val="7B0D1E"/>
          <w:sz w:val="26"/>
          <w:szCs w:val="26"/>
        </w:rPr>
        <w:t xml:space="preserve">SCHOOL MANAGEMENT PLATFORM</w:t>
      </w:r>
    </w:p>
    <w:p>
      <w:pPr>
        <w:spacing w:before="0" w:after="100"/>
        <w:jc w:val="center"/>
      </w:pPr>
      <w:r>
        <w:rPr>
          <w:rFonts w:ascii="Arial" w:cs="Arial" w:eastAsia="Arial" w:hAnsi="Arial"/>
          <w:b/>
          <w:bCs/>
          <w:color w:val="080E18"/>
          <w:sz w:val="58"/>
          <w:szCs w:val="58"/>
        </w:rPr>
        <w:t xml:space="preserve">Product Feature Specification</w:t>
      </w:r>
    </w:p>
    <w:p>
      <w:pPr>
        <w:spacing w:before="0" w:after="700"/>
        <w:jc w:val="center"/>
      </w:pPr>
      <w:r>
        <w:rPr>
          <w:rFonts w:ascii="Arial" w:cs="Arial" w:eastAsia="Arial" w:hAnsi="Arial"/>
          <w:b/>
          <w:bCs/>
          <w:color w:val="A01428"/>
          <w:sz w:val="34"/>
          <w:szCs w:val="34"/>
        </w:rPr>
        <w:t xml:space="preserve">Module G: Dojo Discussion System</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B6C8D8" w:sz="1"/>
              <w:left w:val="single" w:color="B6C8D8" w:sz="1"/>
              <w:bottom w:val="single" w:color="B6C8D8" w:sz="1"/>
              <w:right w:val="single" w:color="B6C8D8" w:sz="1"/>
            </w:tcBorders>
            <w:shd w:fill="7B0D1E" w:val="clear"/>
            <w:tcMar>
              <w:top w:type="dxa" w:w="120"/>
              <w:left w:type="dxa" w:w="200"/>
              <w:bottom w:type="dxa" w:w="120"/>
              <w:right w:type="dxa" w:w="200"/>
            </w:tcMar>
          </w:tcPr>
          <w:p>
            <w:r>
              <w:rPr>
                <w:rFonts w:ascii="Arial" w:cs="Arial" w:eastAsia="Arial" w:hAnsi="Arial"/>
                <w:b/>
                <w:bCs/>
                <w:color w:val="FFFFFF"/>
                <w:sz w:val="21"/>
                <w:szCs w:val="21"/>
              </w:rPr>
              <w:t xml:space="preserve">Document Version</w:t>
            </w:r>
          </w:p>
        </w:tc>
        <w:tc>
          <w:tcPr>
            <w:tcW w:type="dxa" w:w="3200"/>
            <w:tcBorders>
              <w:top w:val="single" w:color="B6C8D8" w:sz="1"/>
              <w:left w:val="single" w:color="B6C8D8" w:sz="1"/>
              <w:bottom w:val="single" w:color="B6C8D8" w:sz="1"/>
              <w:right w:val="single" w:color="B6C8D8" w:sz="1"/>
            </w:tcBorders>
            <w:shd w:fill="F8D7DC" w:val="clear"/>
            <w:tcMar>
              <w:top w:type="dxa" w:w="120"/>
              <w:left w:type="dxa" w:w="200"/>
              <w:bottom w:type="dxa" w:w="120"/>
              <w:right w:type="dxa" w:w="200"/>
            </w:tcMar>
          </w:tcPr>
          <w:p>
            <w:r>
              <w:rPr>
                <w:rFonts w:ascii="Arial" w:cs="Arial" w:eastAsia="Arial" w:hAnsi="Arial"/>
                <w:color w:val="080E18"/>
                <w:sz w:val="21"/>
                <w:szCs w:val="21"/>
              </w:rPr>
              <w:t xml:space="preserve">1.0</w:t>
            </w:r>
          </w:p>
        </w:tc>
      </w:tr>
      <w:tr>
        <w:tc>
          <w:tcPr>
            <w:tcW w:type="dxa" w:w="3200"/>
            <w:tcBorders>
              <w:top w:val="single" w:color="B6C8D8" w:sz="1"/>
              <w:left w:val="single" w:color="B6C8D8" w:sz="1"/>
              <w:bottom w:val="single" w:color="B6C8D8" w:sz="1"/>
              <w:right w:val="single" w:color="B6C8D8" w:sz="1"/>
            </w:tcBorders>
            <w:shd w:fill="7B0D1E" w:val="clear"/>
            <w:tcMar>
              <w:top w:type="dxa" w:w="120"/>
              <w:left w:type="dxa" w:w="200"/>
              <w:bottom w:type="dxa" w:w="120"/>
              <w:right w:type="dxa" w:w="200"/>
            </w:tcMar>
          </w:tcPr>
          <w:p>
            <w:r>
              <w:rPr>
                <w:rFonts w:ascii="Arial" w:cs="Arial" w:eastAsia="Arial" w:hAnsi="Arial"/>
                <w:b/>
                <w:bCs/>
                <w:color w:val="FFFFFF"/>
                <w:sz w:val="21"/>
                <w:szCs w:val="21"/>
              </w:rPr>
              <w:t xml:space="preserve">Date</w:t>
            </w:r>
          </w:p>
        </w:tc>
        <w:tc>
          <w:tcPr>
            <w:tcW w:type="dxa" w:w="3200"/>
            <w:tcBorders>
              <w:top w:val="single" w:color="B6C8D8" w:sz="1"/>
              <w:left w:val="single" w:color="B6C8D8" w:sz="1"/>
              <w:bottom w:val="single" w:color="B6C8D8" w:sz="1"/>
              <w:right w:val="single" w:color="B6C8D8" w:sz="1"/>
            </w:tcBorders>
            <w:shd w:fill="F8D7DC" w:val="clear"/>
            <w:tcMar>
              <w:top w:type="dxa" w:w="120"/>
              <w:left w:type="dxa" w:w="200"/>
              <w:bottom w:type="dxa" w:w="120"/>
              <w:right w:type="dxa" w:w="200"/>
            </w:tcMar>
          </w:tcPr>
          <w:p>
            <w:r>
              <w:rPr>
                <w:rFonts w:ascii="Arial" w:cs="Arial" w:eastAsia="Arial" w:hAnsi="Arial"/>
                <w:color w:val="080E18"/>
                <w:sz w:val="21"/>
                <w:szCs w:val="21"/>
              </w:rPr>
              <w:t xml:space="preserve">March 2026</w:t>
            </w:r>
          </w:p>
        </w:tc>
      </w:tr>
      <w:tr>
        <w:tc>
          <w:tcPr>
            <w:tcW w:type="dxa" w:w="3200"/>
            <w:tcBorders>
              <w:top w:val="single" w:color="B6C8D8" w:sz="1"/>
              <w:left w:val="single" w:color="B6C8D8" w:sz="1"/>
              <w:bottom w:val="single" w:color="B6C8D8" w:sz="1"/>
              <w:right w:val="single" w:color="B6C8D8" w:sz="1"/>
            </w:tcBorders>
            <w:shd w:fill="7B0D1E" w:val="clear"/>
            <w:tcMar>
              <w:top w:type="dxa" w:w="120"/>
              <w:left w:type="dxa" w:w="200"/>
              <w:bottom w:type="dxa" w:w="120"/>
              <w:right w:type="dxa" w:w="200"/>
            </w:tcMar>
          </w:tcPr>
          <w:p>
            <w:r>
              <w:rPr>
                <w:rFonts w:ascii="Arial" w:cs="Arial" w:eastAsia="Arial" w:hAnsi="Arial"/>
                <w:b/>
                <w:bCs/>
                <w:color w:val="FFFFFF"/>
                <w:sz w:val="21"/>
                <w:szCs w:val="21"/>
              </w:rPr>
              <w:t xml:space="preserve">Module</w:t>
            </w:r>
          </w:p>
        </w:tc>
        <w:tc>
          <w:tcPr>
            <w:tcW w:type="dxa" w:w="3200"/>
            <w:tcBorders>
              <w:top w:val="single" w:color="B6C8D8" w:sz="1"/>
              <w:left w:val="single" w:color="B6C8D8" w:sz="1"/>
              <w:bottom w:val="single" w:color="B6C8D8" w:sz="1"/>
              <w:right w:val="single" w:color="B6C8D8" w:sz="1"/>
            </w:tcBorders>
            <w:shd w:fill="F8D7DC" w:val="clear"/>
            <w:tcMar>
              <w:top w:type="dxa" w:w="120"/>
              <w:left w:type="dxa" w:w="200"/>
              <w:bottom w:type="dxa" w:w="120"/>
              <w:right w:type="dxa" w:w="200"/>
            </w:tcMar>
          </w:tcPr>
          <w:p>
            <w:r>
              <w:rPr>
                <w:rFonts w:ascii="Arial" w:cs="Arial" w:eastAsia="Arial" w:hAnsi="Arial"/>
                <w:color w:val="080E18"/>
                <w:sz w:val="21"/>
                <w:szCs w:val="21"/>
              </w:rPr>
              <w:t xml:space="preserve">G — Dojo Discussion System</w:t>
            </w:r>
          </w:p>
        </w:tc>
      </w:tr>
      <w:tr>
        <w:tc>
          <w:tcPr>
            <w:tcW w:type="dxa" w:w="3200"/>
            <w:tcBorders>
              <w:top w:val="single" w:color="B6C8D8" w:sz="1"/>
              <w:left w:val="single" w:color="B6C8D8" w:sz="1"/>
              <w:bottom w:val="single" w:color="B6C8D8" w:sz="1"/>
              <w:right w:val="single" w:color="B6C8D8" w:sz="1"/>
            </w:tcBorders>
            <w:shd w:fill="7B0D1E" w:val="clear"/>
            <w:tcMar>
              <w:top w:type="dxa" w:w="120"/>
              <w:left w:type="dxa" w:w="200"/>
              <w:bottom w:type="dxa" w:w="120"/>
              <w:right w:type="dxa" w:w="200"/>
            </w:tcMar>
          </w:tcPr>
          <w:p>
            <w:r>
              <w:rPr>
                <w:rFonts w:ascii="Arial" w:cs="Arial" w:eastAsia="Arial" w:hAnsi="Arial"/>
                <w:b/>
                <w:bCs/>
                <w:color w:val="FFFFFF"/>
                <w:sz w:val="21"/>
                <w:szCs w:val="21"/>
              </w:rPr>
              <w:t xml:space="preserve">Total Features</w:t>
            </w:r>
          </w:p>
        </w:tc>
        <w:tc>
          <w:tcPr>
            <w:tcW w:type="dxa" w:w="3200"/>
            <w:tcBorders>
              <w:top w:val="single" w:color="B6C8D8" w:sz="1"/>
              <w:left w:val="single" w:color="B6C8D8" w:sz="1"/>
              <w:bottom w:val="single" w:color="B6C8D8" w:sz="1"/>
              <w:right w:val="single" w:color="B6C8D8" w:sz="1"/>
            </w:tcBorders>
            <w:shd w:fill="F8D7DC" w:val="clear"/>
            <w:tcMar>
              <w:top w:type="dxa" w:w="120"/>
              <w:left w:type="dxa" w:w="200"/>
              <w:bottom w:type="dxa" w:w="120"/>
              <w:right w:type="dxa" w:w="200"/>
            </w:tcMar>
          </w:tcPr>
          <w:p>
            <w:r>
              <w:rPr>
                <w:rFonts w:ascii="Arial" w:cs="Arial" w:eastAsia="Arial" w:hAnsi="Arial"/>
                <w:color w:val="080E18"/>
                <w:sz w:val="21"/>
                <w:szCs w:val="21"/>
              </w:rPr>
              <w:t xml:space="preserve">8</w:t>
            </w:r>
          </w:p>
        </w:tc>
      </w:tr>
      <w:tr>
        <w:tc>
          <w:tcPr>
            <w:tcW w:type="dxa" w:w="3200"/>
            <w:tcBorders>
              <w:top w:val="single" w:color="B6C8D8" w:sz="1"/>
              <w:left w:val="single" w:color="B6C8D8" w:sz="1"/>
              <w:bottom w:val="single" w:color="B6C8D8" w:sz="1"/>
              <w:right w:val="single" w:color="B6C8D8" w:sz="1"/>
            </w:tcBorders>
            <w:shd w:fill="7B0D1E" w:val="clear"/>
            <w:tcMar>
              <w:top w:type="dxa" w:w="120"/>
              <w:left w:type="dxa" w:w="200"/>
              <w:bottom w:type="dxa" w:w="120"/>
              <w:right w:type="dxa" w:w="200"/>
            </w:tcMar>
          </w:tcPr>
          <w:p>
            <w:r>
              <w:rPr>
                <w:rFonts w:ascii="Arial" w:cs="Arial" w:eastAsia="Arial" w:hAnsi="Arial"/>
                <w:b/>
                <w:bCs/>
                <w:color w:val="FFFFFF"/>
                <w:sz w:val="21"/>
                <w:szCs w:val="21"/>
              </w:rPr>
              <w:t xml:space="preserve">Status</w:t>
            </w:r>
          </w:p>
        </w:tc>
        <w:tc>
          <w:tcPr>
            <w:tcW w:type="dxa" w:w="3200"/>
            <w:tcBorders>
              <w:top w:val="single" w:color="B6C8D8" w:sz="1"/>
              <w:left w:val="single" w:color="B6C8D8" w:sz="1"/>
              <w:bottom w:val="single" w:color="B6C8D8" w:sz="1"/>
              <w:right w:val="single" w:color="B6C8D8" w:sz="1"/>
            </w:tcBorders>
            <w:shd w:fill="F8D7DC" w:val="clear"/>
            <w:tcMar>
              <w:top w:type="dxa" w:w="120"/>
              <w:left w:type="dxa" w:w="200"/>
              <w:bottom w:type="dxa" w:w="120"/>
              <w:right w:type="dxa" w:w="200"/>
            </w:tcMar>
          </w:tcPr>
          <w:p>
            <w:r>
              <w:rPr>
                <w:rFonts w:ascii="Arial" w:cs="Arial" w:eastAsia="Arial" w:hAnsi="Arial"/>
                <w:color w:val="080E18"/>
                <w:sz w:val="21"/>
                <w:szCs w:val="21"/>
              </w:rPr>
              <w:t xml:space="preserve">Final Draft</w:t>
            </w:r>
          </w:p>
        </w:tc>
      </w:tr>
    </w:tbl>
    <w:p>
      <w:r>
        <w:br w:type="page"/>
      </w:r>
    </w:p>
    <w:p>
      <w:pPr>
        <w:pBdr>
          <w:bottom w:val="single" w:color="7B0D1E" w:sz="10" w:space="6"/>
        </w:pBdr>
        <w:spacing w:before="460" w:after="220"/>
      </w:pPr>
      <w:r>
        <w:rPr>
          <w:rFonts w:ascii="Arial" w:cs="Arial" w:eastAsia="Arial" w:hAnsi="Arial"/>
          <w:b/>
          <w:bCs/>
          <w:color w:val="080E18"/>
          <w:sz w:val="40"/>
          <w:szCs w:val="40"/>
        </w:rPr>
        <w:t xml:space="preserve">G. Dojo Discussion System — Feature Details</w:t>
      </w:r>
    </w:p>
    <w:p>
      <w:pPr>
        <w:spacing w:before="80" w:after="380"/>
      </w:pPr>
      <w:r>
        <w:rPr>
          <w:rFonts w:ascii="Arial" w:cs="Arial" w:eastAsia="Arial" w:hAnsi="Arial"/>
          <w:i/>
          <w:iCs/>
          <w:color w:val="16243A"/>
          <w:sz w:val="22"/>
          <w:szCs w:val="22"/>
        </w:rPr>
        <w:t xml:space="preserve">The Dojo Discussion System is the platform's structured communication training arena — purpose-designed to develop the oral communication, critical thinking, and collaborative reasoning competencies that written assessments cannot capture. Built on the principle that communication is a learnable, assessable, and developmentally trackable skill, the Dojo creates a governed, psychologically safe environment where students practice authentic discourse at progressively higher levels of complexity. The eight features below collectively span discussion environment design, intelligent scheduling, real-time participation governance, multi-modal evaluation, AI-assisted skill scoring, deep analytics, professional facilitation tools, and comprehensive reporting — all described in full functional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C8D8" w:sz="1"/>
              <w:left w:val="single" w:color="B6C8D8" w:sz="1"/>
              <w:bottom w:val="single" w:color="B6C8D8" w:sz="1"/>
              <w:right w:val="single" w:color="B6C8D8" w:sz="1"/>
            </w:tcBorders>
            <w:shd w:fill="7B0D1E" w:val="clear"/>
            <w:tcMar>
              <w:top w:type="dxa" w:w="155"/>
              <w:left w:type="dxa" w:w="240"/>
              <w:bottom w:type="dxa" w:w="155"/>
              <w:right w:type="dxa" w:w="240"/>
            </w:tcMar>
          </w:tcPr>
          <w:p>
            <w:r>
              <w:rPr>
                <w:rFonts w:ascii="Arial" w:cs="Arial" w:eastAsia="Arial" w:hAnsi="Arial"/>
                <w:b/>
                <w:bCs/>
                <w:color w:val="FFFFFF"/>
                <w:sz w:val="24"/>
                <w:szCs w:val="24"/>
              </w:rPr>
              <w:t xml:space="preserve">1.  </w:t>
            </w:r>
            <w:r>
              <w:rPr>
                <w:rFonts w:ascii="Arial" w:cs="Arial" w:eastAsia="Arial" w:hAnsi="Arial"/>
                <w:b/>
                <w:bCs/>
                <w:color w:val="FFFFFF"/>
                <w:sz w:val="32"/>
                <w:szCs w:val="32"/>
              </w:rPr>
              <w:t xml:space="preserve">Discussion Room Creation</w:t>
            </w:r>
          </w:p>
        </w:tc>
      </w:tr>
      <w:tr>
        <w:tc>
          <w:tcPr>
            <w:tcW w:type="dxa" w:w="9360"/>
            <w:tcBorders>
              <w:top w:val="single" w:color="B6C8D8" w:sz="1"/>
              <w:left w:val="single" w:color="B6C8D8" w:sz="1"/>
              <w:bottom w:val="single" w:color="B6C8D8" w:sz="1"/>
              <w:right w:val="single" w:color="B6C8D8" w:sz="1"/>
            </w:tcBorders>
            <w:shd w:fill="F8D7DC" w:val="clear"/>
            <w:tcMar>
              <w:top w:type="dxa" w:w="115"/>
              <w:left w:type="dxa" w:w="240"/>
              <w:bottom w:type="dxa" w:w="115"/>
              <w:right w:type="dxa" w:w="240"/>
            </w:tcMar>
          </w:tcPr>
          <w:p>
            <w:r>
              <w:rPr>
                <w:rFonts w:ascii="Arial" w:cs="Arial" w:eastAsia="Arial" w:hAnsi="Arial"/>
                <w:b/>
                <w:bCs/>
                <w:color w:val="7B0D1E"/>
                <w:sz w:val="21"/>
                <w:szCs w:val="21"/>
              </w:rPr>
              <w:t xml:space="preserve">Overview  </w:t>
            </w:r>
            <w:r>
              <w:rPr>
                <w:rFonts w:ascii="Arial" w:cs="Arial" w:eastAsia="Arial" w:hAnsi="Arial"/>
                <w:i/>
                <w:iCs/>
                <w:color w:val="16243A"/>
                <w:sz w:val="21"/>
                <w:szCs w:val="21"/>
              </w:rPr>
              <w:t xml:space="preserve">The foundational infrastructure of the Dojo Discussion System — a fully configurable, purpose-designed virtual and physical discussion environment builder that establishes the spatial, temporal, topical, and participatory parameters for every structured communication training session before a single student speaks.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A01428"/>
                <w:sz w:val="21"/>
                <w:szCs w:val="21"/>
              </w:rPr>
              <w:t xml:space="preserve">Room Types &amp; Format Configuration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Seven distinct discussion room formats supported — each designed to develop different communication competencies: Structured Academic Controversy (two teams research and present opposing positions before collaboratively synthesising the best answer), Socratic Seminar (facilitator-guided inquiry where students build understanding through questioning and dialogue), Fishbowl Discussion (inner circle actively discusses while outer circle observes and provides feedback, then roles rotate), Oxford-Style Formal Debate (motion proposed and opposed with formal speech structure, rebuttals, and floor questions), Panel Discussion (students assume subject-matter expert roles and field questions from classmates), Town Hall Forum (open community-style discussion on civic or social topics), and Roundtable Discussion (collaborative, non-competitive multi-perspective exploration of complex topics).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Hybrid room configuration: every discussion room is simultaneously configured for in-person, fully virtual (video conferencing), and hybrid (some participants physical, some remote) participation — the room's digital infrastructure adapts automatically based on the registered participants' attendance mode, ensuring equity of experience regardless of physical presence.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Room capacity and participant allocation: admin or facilitator defines minimum and maximum participant numbers per room — minimum thresholds ensure discussions have sufficient perspectives, maximum caps prevent unwieldy group sizes that reduce individual speaking time below pedagogically effective levels.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Room persistence settings: Single-Session rooms (created for one event and archived thereafter), Series rooms (persistent across multiple scheduled sessions on the same topic or with the same cohort), and Standing rooms (permanently available for recurring discussion types like weekly current affairs debates or book club discussions).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Physical room mapping: for in-person discussions, the room creation tool allows facilitators to specify the physical classroom or space — integrated with the school's infrastructure module to check availability, book the space, and ensure furniture arrangement instructions (circle, horseshoe, fishbowl, panel table) are communicated to the room preparation staff.</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Room branding and atmosphere customisation: for virtual rooms, schools can customise the digital environment — background images, room name, welcome message, and the display of the session's motion or discussion question prominently on all participants' screens — creating a focused, purposeful atmosphere from the moment participants enter.</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A01428"/>
                <w:sz w:val="21"/>
                <w:szCs w:val="21"/>
              </w:rPr>
              <w:t xml:space="preserve">Topic, Motion &amp; Resource Configuration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Topic library with curated discussion starters: the platform provides a searchable library of 500+ age-appropriate, curriculum-linked discussion topics across categories — Current Affairs, Science Ethics, Social Justice, Literary Analysis, Historical Perspectives, Philosophical Questions, Economic Policy, Environmental Issues, and Cultural Debates — filtered by grade level, subject alignment, and discussion format compatibility.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Custom topic and motion creation: facilitators can create entirely original discussion topics or formal debate motions — entering the topic statement, background reading, key stakeholder perspectives, and suggested pre-session preparation activities — all stored in the school's own topic library for future reuse.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Pre-session preparation resource pack: each room creation includes an optional preparation pack for students — background articles, explainer videos, data sets, quotes from experts, and guiding questions — distributed to participants automatically upon registration, with a read-receipt tracker confirming which participants have engaged with the preparation material.</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Curriculum cross-linking: discussion room topics are formally linked to relevant syllabus topics and skill competencies — ensuring discussions contribute to both curriculum coverage records and skill development portfolios, and allowing academic coordinators to see which curriculum areas are being reinforced through discussion-based pedagogy.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Controversial topic safety settings: for sensitive topics (identity, religion, politics, trauma-adjacent social issues), the room creation tool includes a 'Sensitive Topic' flag — activating enhanced pre-session briefing requirements, stricter moderation settings, mandatory facilitator presence throughout, and post-session wellbeing check protocols.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Multi-round room architecture: facilitators can configure rooms with multiple sequential rounds — e.g., a three-round debate structure where Round 1 is opening speeches, Round 2 is rebuttal, Round 3 is floor questions — each round has independent time allocations, participation rules, and scoring criteria configured at room creation.</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A01428"/>
                <w:sz w:val="21"/>
                <w:szCs w:val="21"/>
              </w:rPr>
              <w:t xml:space="preserve">Access Control &amp; Participant Registration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Invitation-based and open enrollment options: rooms can be configured as invitation-only (facilitator manually selects or uploads participants), class-linked (automatically populated from a class roster), or open-enrollment (any student in a defined grade band can join up to the room's capacity limit).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Role pre-assignment: before the session begins, facilitators can pre-assign participant roles — Proposition, Opposition, Chair/Moderator, Timekeeper, Note-Taker, Observer-Evaluator — ensuring students know their responsibilities in advance and can prepare accordingly.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Observer access configuration: non-participant observers (other students, parents for special sessions, visiting teachers) can be granted observer access — viewing and listening to the discussion in real time without the ability to speak or interrupt, with optional anonymised reaction submission enabled.</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Waiting room functionality: all participants enter a virtual waiting room before the facilitator formally opens the discussion — the facilitator can communicate pre-session instructions, conduct a final technical check, and admit participants in a controlled sequence.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Late arrival management: configurable policies for participants joining after the session has begun — options include Allow with Notification (participant can join with a visible late-arrival indicator), Restrict After Start (latecomers cannot enter once discussion has begun), or Facilitator Discretion (facilitator receives a knock and decides case-by-case).</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A01428"/>
                <w:sz w:val="21"/>
                <w:szCs w:val="21"/>
              </w:rPr>
              <w:t xml:space="preserve">Template Library &amp; Institutional Governance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Room template system: completed room configurations (format, rules, timing, evaluation criteria) can be saved as reusable templates — school-level templates shared across all facilitators save significant setup time for regularly recurring discussion formats.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School discussion calendar integration: created rooms are automatically published to the school's co-curricular and academic calendars — visible to students, parents, and teachers with reminders dispatched at configurable intervals before each session.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Facilitator scheduling assistant: when creating a room, the system checks facilitator availability against their timetable and leave calendar — preventing double-booking and ensuring the scheduled facilitator is genuinely available for the full session duration.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Inter-school discussion room federation: for schools in the same trust or network, rooms can be federated — students from multiple schools participate in the same discussion space, dramatically expanding the diversity of perspectives and preparing students for discourse with unfamiliar interlocutors.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B0D1E"/>
                <w:sz w:val="20"/>
                <w:szCs w:val="20"/>
              </w:rPr>
              <w:t xml:space="preserve">▸  </w:t>
            </w:r>
            <w:r>
              <w:rPr>
                <w:rFonts w:ascii="Arial" w:cs="Arial" w:eastAsia="Arial" w:hAnsi="Arial"/>
                <w:color w:val="16243A"/>
                <w:sz w:val="20"/>
                <w:szCs w:val="20"/>
              </w:rPr>
              <w:t xml:space="preserve">Room archival and replay: all completed discussion sessions are archived with full video recording, transcript, evaluation data, and facilitator notes — accessible to participants for self-review, to facilitators for coaching, and to administrators for quality assurance — stored for a minimum of one academic year.</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C8D8" w:sz="1"/>
              <w:left w:val="single" w:color="B6C8D8" w:sz="1"/>
              <w:bottom w:val="single" w:color="B6C8D8" w:sz="1"/>
              <w:right w:val="single" w:color="B6C8D8" w:sz="1"/>
            </w:tcBorders>
            <w:shd w:fill="0C2D57" w:val="clear"/>
            <w:tcMar>
              <w:top w:type="dxa" w:w="155"/>
              <w:left w:type="dxa" w:w="240"/>
              <w:bottom w:type="dxa" w:w="155"/>
              <w:right w:type="dxa" w:w="240"/>
            </w:tcMar>
          </w:tcPr>
          <w:p>
            <w:r>
              <w:rPr>
                <w:rFonts w:ascii="Arial" w:cs="Arial" w:eastAsia="Arial" w:hAnsi="Arial"/>
                <w:b/>
                <w:bCs/>
                <w:color w:val="FFFFFF"/>
                <w:sz w:val="24"/>
                <w:szCs w:val="24"/>
              </w:rPr>
              <w:t xml:space="preserve">2.  </w:t>
            </w:r>
            <w:r>
              <w:rPr>
                <w:rFonts w:ascii="Arial" w:cs="Arial" w:eastAsia="Arial" w:hAnsi="Arial"/>
                <w:b/>
                <w:bCs/>
                <w:color w:val="FFFFFF"/>
                <w:sz w:val="32"/>
                <w:szCs w:val="32"/>
              </w:rPr>
              <w:t xml:space="preserve">Debate Session Scheduling</w:t>
            </w:r>
          </w:p>
        </w:tc>
      </w:tr>
      <w:tr>
        <w:tc>
          <w:tcPr>
            <w:tcW w:type="dxa" w:w="9360"/>
            <w:tcBorders>
              <w:top w:val="single" w:color="B6C8D8" w:sz="1"/>
              <w:left w:val="single" w:color="B6C8D8" w:sz="1"/>
              <w:bottom w:val="single" w:color="B6C8D8" w:sz="1"/>
              <w:right w:val="single" w:color="B6C8D8" w:sz="1"/>
            </w:tcBorders>
            <w:shd w:fill="D4E2F5" w:val="clear"/>
            <w:tcMar>
              <w:top w:type="dxa" w:w="115"/>
              <w:left w:type="dxa" w:w="240"/>
              <w:bottom w:type="dxa" w:w="115"/>
              <w:right w:type="dxa" w:w="240"/>
            </w:tcMar>
          </w:tcPr>
          <w:p>
            <w:r>
              <w:rPr>
                <w:rFonts w:ascii="Arial" w:cs="Arial" w:eastAsia="Arial" w:hAnsi="Arial"/>
                <w:b/>
                <w:bCs/>
                <w:color w:val="0C2D57"/>
                <w:sz w:val="21"/>
                <w:szCs w:val="21"/>
              </w:rPr>
              <w:t xml:space="preserve">Overview  </w:t>
            </w:r>
            <w:r>
              <w:rPr>
                <w:rFonts w:ascii="Arial" w:cs="Arial" w:eastAsia="Arial" w:hAnsi="Arial"/>
                <w:i/>
                <w:iCs/>
                <w:color w:val="16243A"/>
                <w:sz w:val="21"/>
                <w:szCs w:val="21"/>
              </w:rPr>
              <w:t xml:space="preserve">A sophisticated, conflict-aware scheduling engine that coordinates all logistical dimensions of debate and discussion sessions — integrating with timetables, room availability, participant calendars, facilitator availability, and preparation timelines to ensure every session is well-planned, well-resourced, and well-attended.</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1456A0"/>
                <w:sz w:val="21"/>
                <w:szCs w:val="21"/>
              </w:rPr>
              <w:t xml:space="preserve">Scheduling Engine &amp; Conflict Resolution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Intelligent scheduling assistant: facilitators input their preferred date range, duration, participants, and format — the scheduling engine analyses all participants' timetables, the facilitator's schedule, physical/virtual room availability, and the school event calendar simultaneously — suggesting optimal time slots that minimise conflicts for the maximum number of participants.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Timetable integration for period-embedded discussions: for debate sessions scheduled within regular class periods, the engine integrates directly with the school timetable — creating a formal period entry that replaces or supplements the standard lesson, notifying the subject teacher, and updating the syllabus coverage tracker to log the discussion as a curriculum-linked activity.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Multi-session series scheduling: facilitators can schedule an entire debate tournament, Socratic seminar series, or term-long discussion programme in one operation — defining the number of sessions, frequency (weekly, fortnightly), session duration, and rotation rules for participant groups — the engine generates all sessions simultaneously with sequential preparation timelines.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Buffer time enforcement: the scheduling engine automatically inserts mandatory preparation windows before each session (minimum 48 hours for formal debates with assigned positions, 24 hours for open discussions) — sessions scheduled with insufficient preparation time are flagged and the facilitator is prompted to either extend the timeline or change the format to one requiring less preparation.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Participant availability polling: when scheduling sessions with student choice of attendance (co-curricular sessions, inter-school debates), the system sends automated availability polls to potential participants — aggregating responses and scheduling at the time with maximum confirmed participation.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Rescheduling and cancellation management: if a session must be rescheduled or cancelled, the system handles the full cascade — notifying all registered participants and observers, updating the school calendar, releasing the booked physical/virtual room, and offering the facilitator a set of alternative available slots with pre-populated session details for one-click rescheduling.</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1456A0"/>
                <w:sz w:val="21"/>
                <w:szCs w:val="21"/>
              </w:rPr>
              <w:t xml:space="preserve">Pre-Session Preparation &amp; Logistics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Automated preparation timeline generation: upon session scheduling, the system automatically creates and dispatches a preparation timeline to all participants — including position assignment notification (proposition or opposition), preparation resource pack delivery, self-preparation task deadlines, and a technical orientation reminder for virtual participants.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Position and team assignment logic: for competitive debate formats, team and position assignments are managed by the system — options include facilitator manual assignment, random allocation with balance controls (ensuring strong and developing debaters are distributed equitably), or student preference-based matching for lower-stakes practice sessions.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Pre-session reading confirmation tracking: preparation materials sent to participants generate a read-receipt dashboard — facilitators can see exactly which participants have engaged with preparation resources and which have not, enabling targeted reminders or additional support dispatches before the session.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Venue and technology setup checklist: for in-person sessions, an automated venue setup checklist is sent to the room coordinator — detailing furniture arrangement, microphone/speaker requirements, display screen needs, and any special props or materials — with confirmation receipt required before the session is marked as logistics-ready.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Technical rehearsal scheduling: for virtual or hybrid sessions involving students with limited prior video conferencing experience, the system can automatically schedule a brief technical rehearsal slot 24 hours before the main session — ensuring audio, video, and platform navigation issues are resolved before the live discussion.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Last-minute participant drop management: if a registered participant cancels within 12 hours of the session, the system alerts the facilitator with options — recruit from a waitlist, adjust team composition, reassign roles among remaining participants, or reschedule — with impact analysis showing how each option affects the session's structure.</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1456A0"/>
                <w:sz w:val="21"/>
                <w:szCs w:val="21"/>
              </w:rPr>
              <w:t xml:space="preserve">Tournament &amp; Competition Scheduling</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Debate tournament bracket generation: for competitive interschool or intra-school debate tournaments, the scheduling engine generates full tournament brackets — round-robin, single elimination, or double elimination formats — automatically scheduling all rounds, assigning judges, and managing venue allocation across the tournament's duration.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Judge scheduling and conflict-of-interest management: adjudicators are scheduled across debate rounds with automatic conflict detection — judges are not assigned to debates involving students they have previously taught, coached, or are related to — maintaining competitive integrity.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Result-contingent round scheduling: in elimination formats, subsequent round pairings are automatically generated from preceding round results — the scheduling engine updates all downstream session details (participants, rooms, preparation packs) as results are confirmed, enabling tournaments to run seamlessly without manual re-planning after each round.</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Cross-school scheduling coordination: for inter-school events, the scheduling module generates a shared coordination workspace — both schools' administrators can view, confirm, and amend session logistics with all changes immediately reflected for both parties — eliminating the email coordination chaos typical of inter-school event planning.</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Points and standings tracking integration: tournament session results feed directly into a live standings leaderboard — updated in real time as each round's scores are submitted by judges, with standings visible to participants, spectators, and school leadership throughout the tournament.</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1456A0"/>
                <w:sz w:val="21"/>
                <w:szCs w:val="21"/>
              </w:rPr>
              <w:t xml:space="preserve">Calendar &amp; Notification Management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Personalised participant session calendar: each student and facilitator receives a personalised session calendar showing all their upcoming Dojo discussion commitments — integrated with the school's main academic calendar and exportable to Google Calendar, Outlook, and Apple Calendar via iCal feed.</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Escalating reminder notification sequence: automated reminders sent at 1 week, 3 days, 1 day, and 2 hours before each session — content evolves with proximity (distant reminders include preparation instructions; immediate reminders include joining link, room location, and a final encouragement message).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Parent session visibility: for formal competitions and significant discussion events, parents receive an optional calendar invite and can observe sessions live (if observer access is enabled) or receive a session outcome notification after the event.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C2D57"/>
                <w:sz w:val="20"/>
                <w:szCs w:val="20"/>
              </w:rPr>
              <w:t xml:space="preserve">▸  </w:t>
            </w:r>
            <w:r>
              <w:rPr>
                <w:rFonts w:ascii="Arial" w:cs="Arial" w:eastAsia="Arial" w:hAnsi="Arial"/>
                <w:color w:val="16243A"/>
                <w:sz w:val="20"/>
                <w:szCs w:val="20"/>
              </w:rPr>
              <w:t xml:space="preserve">Session density monitoring: the scheduling dashboard monitors the total number of discussion and debate commitments per student across the academic term — flagging students with unusually high session loads to prevent co-curricular overcommitment affecting academic performance.</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C8D8" w:sz="1"/>
              <w:left w:val="single" w:color="B6C8D8" w:sz="1"/>
              <w:bottom w:val="single" w:color="B6C8D8" w:sz="1"/>
              <w:right w:val="single" w:color="B6C8D8" w:sz="1"/>
            </w:tcBorders>
            <w:shd w:fill="0D4A2F" w:val="clear"/>
            <w:tcMar>
              <w:top w:type="dxa" w:w="155"/>
              <w:left w:type="dxa" w:w="240"/>
              <w:bottom w:type="dxa" w:w="155"/>
              <w:right w:type="dxa" w:w="240"/>
            </w:tcMar>
          </w:tcPr>
          <w:p>
            <w:r>
              <w:rPr>
                <w:rFonts w:ascii="Arial" w:cs="Arial" w:eastAsia="Arial" w:hAnsi="Arial"/>
                <w:b/>
                <w:bCs/>
                <w:color w:val="FFFFFF"/>
                <w:sz w:val="24"/>
                <w:szCs w:val="24"/>
              </w:rPr>
              <w:t xml:space="preserve">3.  </w:t>
            </w:r>
            <w:r>
              <w:rPr>
                <w:rFonts w:ascii="Arial" w:cs="Arial" w:eastAsia="Arial" w:hAnsi="Arial"/>
                <w:b/>
                <w:bCs/>
                <w:color w:val="FFFFFF"/>
                <w:sz w:val="32"/>
                <w:szCs w:val="32"/>
              </w:rPr>
              <w:t xml:space="preserve">Student Participation Control</w:t>
            </w:r>
          </w:p>
        </w:tc>
      </w:tr>
      <w:tr>
        <w:tc>
          <w:tcPr>
            <w:tcW w:type="dxa" w:w="9360"/>
            <w:tcBorders>
              <w:top w:val="single" w:color="B6C8D8" w:sz="1"/>
              <w:left w:val="single" w:color="B6C8D8" w:sz="1"/>
              <w:bottom w:val="single" w:color="B6C8D8" w:sz="1"/>
              <w:right w:val="single" w:color="B6C8D8" w:sz="1"/>
            </w:tcBorders>
            <w:shd w:fill="D3EDE0" w:val="clear"/>
            <w:tcMar>
              <w:top w:type="dxa" w:w="115"/>
              <w:left w:type="dxa" w:w="240"/>
              <w:bottom w:type="dxa" w:w="115"/>
              <w:right w:type="dxa" w:w="240"/>
            </w:tcMar>
          </w:tcPr>
          <w:p>
            <w:r>
              <w:rPr>
                <w:rFonts w:ascii="Arial" w:cs="Arial" w:eastAsia="Arial" w:hAnsi="Arial"/>
                <w:b/>
                <w:bCs/>
                <w:color w:val="0D4A2F"/>
                <w:sz w:val="21"/>
                <w:szCs w:val="21"/>
              </w:rPr>
              <w:t xml:space="preserve">Overview  </w:t>
            </w:r>
            <w:r>
              <w:rPr>
                <w:rFonts w:ascii="Arial" w:cs="Arial" w:eastAsia="Arial" w:hAnsi="Arial"/>
                <w:i/>
                <w:iCs/>
                <w:color w:val="16243A"/>
                <w:sz w:val="21"/>
                <w:szCs w:val="21"/>
              </w:rPr>
              <w:t xml:space="preserve">A comprehensive toolkit giving facilitators precise, real-time control over every dimension of student participation during live discussion sessions — managing speaking turns, time allocation, engagement quality, intervention triggers, and participation equity to create productive, safe, and developmentally purposeful communication environments.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136640"/>
                <w:sz w:val="21"/>
                <w:szCs w:val="21"/>
              </w:rPr>
              <w:t xml:space="preserve">Speaking Turn Management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Digital speaking queue system: students raise a virtual hand to join the speaking queue — the facilitator sees a prioritised list showing queue position, the student's name, how long they have been waiting, and their current session participation count — enabling fair, transparent, and informed turn allocation.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Time-controlled speaking slots: each speaking turn is governed by a configurable timer — facilitators set turn lengths per session format (e.g., 90 seconds for opening statements, 45 seconds for rebuttals, 60 seconds for floor contributions) — the timer is visible to all participants on screen, and a countdown audio cue signals time expiry.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Speaking equity monitoring: the system tracks cumulative speaking time per participant in real time — a visual equity indicator shows the facilitator which students have spoken significantly more or less than the group average, enabling conscious facilitation decisions to draw in quieter voices and gently limit dominant speakers.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Forced queue reset: for formats requiring structured turn rotation (e.g., roundtable discussions where every participant must speak before anyone speaks twice), the facilitator can activate a round-completion lock — the system prevents repeat contributions until all participants who have not yet spoken have had an opportunity.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Priority flagging: facilitators can mark specific students as 'Needs a Turn' — moving them to the front of the queue without the student needing to raise their hand — useful for introverted students who are participating attentively but not asserting themselves in the queue independently.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Silent contribution mode: for students experiencing speaking anxiety, the platform offers a text contribution panel — students can submit written contributions that the facilitator reads aloud on their behalf, maintaining participation and intellectual engagement while providing a low-anxiety bridge towards live speaking.</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136640"/>
                <w:sz w:val="21"/>
                <w:szCs w:val="21"/>
              </w:rPr>
              <w:t xml:space="preserve">Breakout &amp; Subgroup Management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Dynamic breakout room creation during live sessions: facilitators can instantly split participants into smaller subgroups mid-session for pair discussions, small-group deliberation, or caucus preparation — rooms are created and participants redistributed with a single facilitator action, with a countdown displayed before the breakout begins.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Breakout room monitoring: while students deliberate in breakout rooms, the facilitator can silently observe any room without participants being notified — or they can broadcast a message or timer instruction to all breakout rooms simultaneously — maintaining facilitation presence without interrupting small-group dynamics.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Breakout task assignment: when creating breakout rooms, facilitators assign specific tasks visible to each group — discussion questions, position development prompts, evidence ranking activities, or collaborative note-taking templates — ensuring breakout time is purposeful and structured.</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Return-from-breakout report-back management: after breakout sessions, a structured report-back sequence is managed by the platform — each group's designated speaker is automatically queued in a random or facilitator-set order, each with a defined time slot to share their group's conclusions before the whole-group discussion resumes.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Cross-group exchange mode: a facilitated activity option where each breakout group sends one representative to a different group for a defined period — mixing perspectives and simulating the kind of cross-functional communication students will encounter in professional environments.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136640"/>
                <w:sz w:val="21"/>
                <w:szCs w:val="21"/>
              </w:rPr>
              <w:t xml:space="preserve">Engagement Monitoring &amp; Intervention Tools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Real-time engagement heatmap: during live sessions, the facilitator's dashboard displays an engagement heatmap showing each participant's engagement status — Active Speaker, Active Listener (camera on, no interaction for under 5 minutes), Passive Participant (no visible engagement for 5+ minutes), or Disconnected — enabling targeted re-engagement interventions.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Private facilitator message: facilitators can send private, non-disruptive text messages to individual participants during the live session — used to prompt a hesitant speaker, provide a supportive note to an anxious participant, redirect a student who has gone off-topic, or acknowledge an exceptional contribution without interrupting the group flow.</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Red card / yellow card intervention: for discussion formats requiring structured discipline, facilitators can issue formal yellow card (warning for a rule violation — interrupting, ad hominem, irrelevant contribution) or red card (participant must stop speaking immediately) indicators — visible to all participants and logged in the session record.</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Audience response integration: during panel discussions and town halls, the platform's live polling feature allows the facilitator to instantly gauge whole-group views — launching a quick poll mid-session to test opinion shifts, check comprehension, or structure a vote on the most convincing argument heard so far.</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Participant energy monitoring: for longer sessions, a self-reported energy check-in (quick 1–5 emoji scale prompt sent to all participants at configurable intervals) allows facilitators to gauge fatigue or disengagement levels and make real-time decisions about incorporating energiser activities or taking breaks.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136640"/>
                <w:sz w:val="21"/>
                <w:szCs w:val="21"/>
              </w:rPr>
              <w:t xml:space="preserve">Safety, Safeguarding &amp; Behavioural Controls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Inappropriate language detection: AI-powered real-time text analysis of typed contributions and chat messages flags potentially offensive, discriminatory, or harmful language — the facilitator is immediately alerted and the flagged content is held for review before being displayed to the group.</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Emergency mute and removal: facilitators can instantly mute any participant's audio and video, or remove a participant from the session entirely with one click — in cases of safeguarding concern, technical disruption, or serious behavioural violation — with the action logged and the student's profile flagged for follow-up.</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Safe discussion ground rules display: configurable ground rules (e.g., 'Critique ideas, not people', 'One voice at a time', 'All contributions are valued', 'What is said here, stays here') are displayed permanently on all participants' screens throughout the session — reinforcing norms without requiring repeated verbal reminders.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Post-session wellbeing check: for discussions involving sensitive or emotionally challenging topics, an automated post-session wellbeing check is sent to all participants — a brief, anonymous prompt asking how they are feeling and offering a link to the school counsellor's contact page if any student feels they need support after the discussion.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D4A2F"/>
                <w:sz w:val="20"/>
                <w:szCs w:val="20"/>
              </w:rPr>
              <w:t xml:space="preserve">▸  </w:t>
            </w:r>
            <w:r>
              <w:rPr>
                <w:rFonts w:ascii="Arial" w:cs="Arial" w:eastAsia="Arial" w:hAnsi="Arial"/>
                <w:color w:val="16243A"/>
                <w:sz w:val="20"/>
                <w:szCs w:val="20"/>
              </w:rPr>
              <w:t xml:space="preserve">Incident log integration: any safety or behavioural incident that occurs during a Dojo session is automatically logged in the platform's student conduct record — linked to the relevant student's behavioural profile and flagged for follow-up by the form teacher or counsellor within 24 hours.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C8D8" w:sz="1"/>
              <w:left w:val="single" w:color="B6C8D8" w:sz="1"/>
              <w:bottom w:val="single" w:color="B6C8D8" w:sz="1"/>
              <w:right w:val="single" w:color="B6C8D8" w:sz="1"/>
            </w:tcBorders>
            <w:shd w:fill="4A1040" w:val="clear"/>
            <w:tcMar>
              <w:top w:type="dxa" w:w="155"/>
              <w:left w:type="dxa" w:w="240"/>
              <w:bottom w:type="dxa" w:w="155"/>
              <w:right w:type="dxa" w:w="240"/>
            </w:tcMar>
          </w:tcPr>
          <w:p>
            <w:r>
              <w:rPr>
                <w:rFonts w:ascii="Arial" w:cs="Arial" w:eastAsia="Arial" w:hAnsi="Arial"/>
                <w:b/>
                <w:bCs/>
                <w:color w:val="FFFFFF"/>
                <w:sz w:val="24"/>
                <w:szCs w:val="24"/>
              </w:rPr>
              <w:t xml:space="preserve">4.  </w:t>
            </w:r>
            <w:r>
              <w:rPr>
                <w:rFonts w:ascii="Arial" w:cs="Arial" w:eastAsia="Arial" w:hAnsi="Arial"/>
                <w:b/>
                <w:bCs/>
                <w:color w:val="FFFFFF"/>
                <w:sz w:val="32"/>
                <w:szCs w:val="32"/>
              </w:rPr>
              <w:t xml:space="preserve">Discussion Evaluation System</w:t>
            </w:r>
          </w:p>
        </w:tc>
      </w:tr>
      <w:tr>
        <w:tc>
          <w:tcPr>
            <w:tcW w:type="dxa" w:w="9360"/>
            <w:tcBorders>
              <w:top w:val="single" w:color="B6C8D8" w:sz="1"/>
              <w:left w:val="single" w:color="B6C8D8" w:sz="1"/>
              <w:bottom w:val="single" w:color="B6C8D8" w:sz="1"/>
              <w:right w:val="single" w:color="B6C8D8" w:sz="1"/>
            </w:tcBorders>
            <w:shd w:fill="F2D9EC" w:val="clear"/>
            <w:tcMar>
              <w:top w:type="dxa" w:w="115"/>
              <w:left w:type="dxa" w:w="240"/>
              <w:bottom w:type="dxa" w:w="115"/>
              <w:right w:type="dxa" w:w="240"/>
            </w:tcMar>
          </w:tcPr>
          <w:p>
            <w:r>
              <w:rPr>
                <w:rFonts w:ascii="Arial" w:cs="Arial" w:eastAsia="Arial" w:hAnsi="Arial"/>
                <w:b/>
                <w:bCs/>
                <w:color w:val="4A1040"/>
                <w:sz w:val="21"/>
                <w:szCs w:val="21"/>
              </w:rPr>
              <w:t xml:space="preserve">Overview  </w:t>
            </w:r>
            <w:r>
              <w:rPr>
                <w:rFonts w:ascii="Arial" w:cs="Arial" w:eastAsia="Arial" w:hAnsi="Arial"/>
                <w:i/>
                <w:iCs/>
                <w:color w:val="16243A"/>
                <w:sz w:val="21"/>
                <w:szCs w:val="21"/>
              </w:rPr>
              <w:t xml:space="preserve">A multi-layered, evidence-rich evaluation framework that assesses student communication performance during discussion and debate sessions — combining facilitator real-time observation, peer evaluation, self-reflection, and AI-assisted speech analysis to produce comprehensive, actionable, growth-oriented evaluations for every participant.</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6B1858"/>
                <w:sz w:val="21"/>
                <w:szCs w:val="21"/>
              </w:rPr>
              <w:t xml:space="preserve">Evaluation Framework &amp; Rubric Architecture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Competency-based evaluation framework: every discussion evaluation is anchored to a published competency framework — the platform's default framework covers seven communication competency clusters: Content Quality &amp; Knowledge Application, Argument Structure &amp; Logic, Evidence Use &amp; Citation, Listening &amp; Responsiveness, Language Clarity &amp; Vocabulary, Confidence &amp; Presence, and Respectful &amp; Constructive Engagement — each cluster decomposed into 3–5 observable behavioural indicators.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Format-specific rubric variants: evaluation rubrics automatically adapt to the discussion format — a formal Oxford Debate rubric includes criteria for Opening Statement quality and Rebuttal effectiveness not present in a Socratic Seminar rubric, which instead emphasises Question Quality and Building on Others' Ideas — ensuring evaluation criteria always match the specific communication demands of the format used.</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Weighted scoring configuration: facilitators configure the relative weight of each competency cluster in the final session score — for a formal debate, Content Quality might carry 30% weight; for a Socratic Seminar, Listening and Responsiveness might carry 40% — driving students to prioritise the communication behaviours most valued in each format.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Developmental level calibration: evaluation descriptors are calibrated for three developmental bands — Junior (Grades 1–5, emphasising confidence, turn-taking, and basic coherence), Middle (Grades 6–8, adding argument structure, evidence use, and responsiveness), and Senior (Grades 9–12, full professional-standard evaluation including rhetorical technique, logical rigour, and persuasion effectiveness) — ensuring assessments are challenging but fair at each level.</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Holistic comment integration: beyond criterion scores, evaluators enter a holistic qualitative comment for each participant — a narrative that captures the evaluator's overall impression, acknowledges specific memorable contributions, and identifies one key development priority — providing the human contextual insight that numerical rubric scores alone cannot convey.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Blind evaluation option for competitions: in competitive formats where evaluation fairness is paramount, the blind evaluation mode conceals participants' names from judges during the scoring process — reducing potential evaluator bias from prior knowledge of participants' academic standing or reputation.</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6B1858"/>
                <w:sz w:val="21"/>
                <w:szCs w:val="21"/>
              </w:rPr>
              <w:t xml:space="preserve">Facilitator Evaluation Interface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Live rubric marking on mobile and tablet: the facilitator's evaluation interface is optimised for real-time use on a tablet or smartphone during the live session — a scrollable participant list with a tap-to-rate rubric for each participant, minimised to avoid distracting the facilitator from the discussion while being fast enough to capture impressions in the moment.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Timestamped observation notes: facilitators tap a record button to attach quick voice-memo or text observation notes to specific participants at specific moments during the session — these timestamped notes are later used to populate detailed qualitative feedback without relying on memory.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Comparative ranking tool: after all participants have received preliminary scores, the evaluation interface presents a side-by-side comparison view — facilitators can adjust scores to ensure relative fairness across the group, reviewing all participants' criterion scores simultaneously before finalising.</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Co-evaluator support: for formal competitions or high-stakes sessions, multiple facilitators or judges can evaluate simultaneously — each submits independent scores, and the platform calculates a moderated final score (average, or after dropping the highest and lowest scores where three or more judges evaluate) — standard practice in competitive debating adjudication.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Evaluator preparation and calibration tools: before high-stakes evaluation sessions, facilitators can access calibration exercises — watching a recorded discussion clip and submitting their rubric scores, then comparing against an expert benchmark and reviewing the discrepancies — building evaluator consistency and confidence.</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6B1858"/>
                <w:sz w:val="21"/>
                <w:szCs w:val="21"/>
              </w:rPr>
              <w:t xml:space="preserve">Peer &amp; Self Evaluation Components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Structured peer evaluation protocol: after each session, participants complete a structured peer evaluation of two or three other participants — using a simplified version of the main rubric (3–4 criteria rather than the full 7) with required evidence-based justification for each rating — preventing superficial or socially biased peer assessments.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Peer evaluation anonymisation and calibration: peer evaluation scores are anonymised before being shared with the evaluated student — and the platform applies a calibration adjustment to peer scores from students whose own peer evaluations are consistently outliers (much harsher or more lenient than the facilitator's scores for the same participants), reducing the impact of unreliable peer evaluators.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Self-evaluation reflection framework: participants complete a post-session structured self-evaluation — rating their own performance against each competency criterion and writing a brief evidence-based justification — followed by three specific reflection questions: 'What was my strongest contribution?', 'What would I do differently?', and 'What one skill will I focus on developing before my next session?'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Self-vs-peer-vs-facilitator comparison: the evaluation summary shows the student their self-assessment scores, calibrated peer assessment scores, and facilitator scores side by side — with a reflection prompt when significant discrepancies appear — helping students develop accurate metacognitive awareness of their own communication performance.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Peer evaluation quality scoring: the quality of each student's peer evaluations is itself assessed — are their ratings consistent with the facilitator's, do their written justifications reference specific, observed behaviours? — high-quality peer evaluation contributes to the student's Communication and Critical Thinking skill profiles as evidence of analytical observation ability.</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6B1858"/>
                <w:sz w:val="21"/>
                <w:szCs w:val="21"/>
              </w:rPr>
              <w:t xml:space="preserve">Evaluation Moderation &amp; Quality Assurance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Evaluation consistency monitoring: the system tracks the distribution of scores given by each facilitator across multiple sessions — facilitators whose scoring distributions are significantly more lenient or more severe than the school average are flagged for calibration review, ensuring evaluation standards are consistent school-wide.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Inter-session progression check: the evaluation system compares a student's scores across sequential sessions of the same format — if a student's scores drop significantly between sessions without a contextual explanation, the facilitator is prompted to check in with the student about any external factors that may be affecting their performance.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Parent access to evaluations: completed, moderated evaluations are made available to parents in the parent portal — presented in a plain-language format with simplified criterion labels and the facilitator's qualitative comment — providing parents with meaningful insight into their child's communication development without requiring interpretation of complex rubric scoring.</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4A1040"/>
                <w:sz w:val="20"/>
                <w:szCs w:val="20"/>
              </w:rPr>
              <w:t xml:space="preserve">▸  </w:t>
            </w:r>
            <w:r>
              <w:rPr>
                <w:rFonts w:ascii="Arial" w:cs="Arial" w:eastAsia="Arial" w:hAnsi="Arial"/>
                <w:color w:val="16243A"/>
                <w:sz w:val="20"/>
                <w:szCs w:val="20"/>
              </w:rPr>
              <w:t xml:space="preserve">Evaluation appeal mechanism: students who believe a facilitator evaluation does not fairly reflect their contribution can submit a formal appeal — citing specific evidence and requesting review by the Dojo Coordinator — the coordinator reviews the session recording and the original evaluation, adjudicates, and records the decision with rationale in the appeal log.</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C8D8" w:sz="1"/>
              <w:left w:val="single" w:color="B6C8D8" w:sz="1"/>
              <w:bottom w:val="single" w:color="B6C8D8" w:sz="1"/>
              <w:right w:val="single" w:color="B6C8D8" w:sz="1"/>
            </w:tcBorders>
            <w:shd w:fill="1E2D3B" w:val="clear"/>
            <w:tcMar>
              <w:top w:type="dxa" w:w="155"/>
              <w:left w:type="dxa" w:w="240"/>
              <w:bottom w:type="dxa" w:w="155"/>
              <w:right w:type="dxa" w:w="240"/>
            </w:tcMar>
          </w:tcPr>
          <w:p>
            <w:r>
              <w:rPr>
                <w:rFonts w:ascii="Arial" w:cs="Arial" w:eastAsia="Arial" w:hAnsi="Arial"/>
                <w:b/>
                <w:bCs/>
                <w:color w:val="FFFFFF"/>
                <w:sz w:val="24"/>
                <w:szCs w:val="24"/>
              </w:rPr>
              <w:t xml:space="preserve">5.  </w:t>
            </w:r>
            <w:r>
              <w:rPr>
                <w:rFonts w:ascii="Arial" w:cs="Arial" w:eastAsia="Arial" w:hAnsi="Arial"/>
                <w:b/>
                <w:bCs/>
                <w:color w:val="FFFFFF"/>
                <w:sz w:val="32"/>
                <w:szCs w:val="32"/>
              </w:rPr>
              <w:t xml:space="preserve">Communication Skill Scoring</w:t>
            </w:r>
          </w:p>
        </w:tc>
      </w:tr>
      <w:tr>
        <w:tc>
          <w:tcPr>
            <w:tcW w:type="dxa" w:w="9360"/>
            <w:tcBorders>
              <w:top w:val="single" w:color="B6C8D8" w:sz="1"/>
              <w:left w:val="single" w:color="B6C8D8" w:sz="1"/>
              <w:bottom w:val="single" w:color="B6C8D8" w:sz="1"/>
              <w:right w:val="single" w:color="B6C8D8" w:sz="1"/>
            </w:tcBorders>
            <w:shd w:fill="D8E2EB" w:val="clear"/>
            <w:tcMar>
              <w:top w:type="dxa" w:w="115"/>
              <w:left w:type="dxa" w:w="240"/>
              <w:bottom w:type="dxa" w:w="115"/>
              <w:right w:type="dxa" w:w="240"/>
            </w:tcMar>
          </w:tcPr>
          <w:p>
            <w:r>
              <w:rPr>
                <w:rFonts w:ascii="Arial" w:cs="Arial" w:eastAsia="Arial" w:hAnsi="Arial"/>
                <w:b/>
                <w:bCs/>
                <w:color w:val="1E2D3B"/>
                <w:sz w:val="21"/>
                <w:szCs w:val="21"/>
              </w:rPr>
              <w:t xml:space="preserve">Overview  </w:t>
            </w:r>
            <w:r>
              <w:rPr>
                <w:rFonts w:ascii="Arial" w:cs="Arial" w:eastAsia="Arial" w:hAnsi="Arial"/>
                <w:i/>
                <w:iCs/>
                <w:color w:val="16243A"/>
                <w:sz w:val="21"/>
                <w:szCs w:val="21"/>
              </w:rPr>
              <w:t xml:space="preserve">The quantitative engine that translates raw discussion evaluation data into a structured, longitudinal, multi-dimensional communication skill score for every student — powering individual growth tracking, class-level analytics, facilitator effectiveness measurement, and integration with the broader skill development profile.</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2E4560"/>
                <w:sz w:val="21"/>
                <w:szCs w:val="21"/>
              </w:rPr>
              <w:t xml:space="preserve">Scoring Architecture &amp; Dimensions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Eight-dimension communication skill score: the platform scores communication competency across eight independently tracked dimensions — Clarity of Expression (precision, vocabulary, sentence construction), Argument Quality (logical structure, claim-evidence-reasoning coherence), Listening &amp; Integration (demonstrating comprehension of others' points and building upon them), Rhetorical Effectiveness (persuasion, audience awareness, emotional intelligence in communication), Non-Verbal Communication (posture, eye contact, gesture — assessed through video analysis), Confidence &amp; Presence (voice projection, pace, composure under pressure), Respectful Discourse (constructive disagreement, graceful concession, inclusive language), and Adaptability (adjusting communication style to context and audience).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Composite communication score calculation: a weighted composite Communication Proficiency Score (CPS) is calculated from the eight dimensions — weighting adjustable by grade band to reflect developmental priorities (e.g., Confidence and Clarity weighted more heavily for junior students; Argument Quality and Rhetorical Effectiveness weighted more heavily for senior students).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Session score vs. running score: each discussion session produces a session-specific score reflecting that performance; the running CPS is a time-weighted moving average of all session scores — preventing a single outstanding or poor performance from dramatically distorting the student's overall proficiency profile.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Dimension-level strength and weakness profiling: the CPS report surfaces each student's highest and lowest scoring dimensions — providing the basis for targeted coaching and personalised development planning rather than generic 'improve your communication' feedback.</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Format-specific scoring norms: the scoring system maintains separate norm tables for each discussion format — a student's score in a formal debate is benchmarked against other students in formal debate contexts; their Socratic Seminar score is benchmarked separately — preventing unfair comparisons between performances in structurally very different communication formats.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Confidence interval on scores: each student's CPS is displayed with a confidence interval based on the number of sessions completed — students who have participated in fewer than 5 sessions have wider confidence intervals, indicating that more data is needed for a stable estimate — managing stakeholder expectations about score reliability at different stages of the academic year.</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2E4560"/>
                <w:sz w:val="21"/>
                <w:szCs w:val="21"/>
              </w:rPr>
              <w:t xml:space="preserve">AI-Assisted Speech &amp; Language Analysis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Automated speech transcription: all spoken contributions during sessions are transcribed in real time using AI speech recognition — producing a full session transcript with speaker attribution, used as the raw material for automated linguistic analysis and as a permanent searchable record of the discussion.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Vocabulary richness scoring: automated analysis of each student's transcribed contributions measures vocabulary range (type-token ratio), domain-specific vocabulary usage (subject-relevant terminology), and avoidance of filler language (um, uh, like, you know) — producing an objective Vocabulary Richness Index that contributes to the Clarity of Expression dimension.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Argumentation pattern analysis: natural language processing identifies argumentation patterns in each student's contributions — detecting claim-evidence-reasoning structures, identifying unsupported assertions, flagging logical fallacies (ad hominem, straw man, false dichotomy), and measuring response directness (whether the student substantively addresses the previous speaker's point).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Sentiment and tone analysis: AI analysis of transcribed language identifies emotional tone and register — distinguishing between confident assertion, tentative hedging, respectful disagreement, and dismissive language — contributing to the Respectful Discourse and Confidence dimensions of the CPS.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Speaking pace and pause analysis: audio analysis measures words per minute, pause frequency, pause duration, and pace variation — research shows optimal persuasive speaking pace is 130–150 WPM with strategic pausing; the platform benchmarks each student's pace metrics against these evidence-based norms.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AI analysis transparency and human override: all AI-generated scores are presented as indicators to support the facilitator's professional judgement, not as final scores — facilitators review and can override any AI-generated dimension score before it is finalised, with the override reason recorded — maintaining human accountability for all consequential evaluation decisions.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2E4560"/>
                <w:sz w:val="21"/>
                <w:szCs w:val="21"/>
              </w:rPr>
              <w:t xml:space="preserve">Score Integration &amp; Skill Profile Linkage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Bidirectional skill profile integration: communication skill scores from the Dojo system flow directly into the student's platform-wide skill development profile — contributing evidence to the Communication &amp; Collaboration domain and its sub-competencies in the skill taxonomy — ensuring Dojo participation creates measurable impact on the student's overall skill passport.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Academic performance correlation analysis: communication skill scores are cross-referenced with academic subject performance data — identifying whether students with higher CPS scores demonstrate stronger performance in humanities and language subjects, and whether communication skill development correlates with improved written assessment quality.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Session score trend for parent communications: parents receive a CPS trend notification after each session their child participates in — showing the session score, the running CPS, and the change from the previous session in a simple up/down/stable indicator — keeping parents meaningfully informed without requiring them to interpret complex scoring frameworks.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Facilitator-student coaching conference support: the CPS dimension breakdown generates a structured coaching conversation agenda — automatically identifying the 2–3 dimensions where the student would benefit most from focused coaching and suggesting specific, evidence-based activities for each priority dimension.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External credential alignment: for students pursuing recognised public speaking and debate credentials (e.g., World Schools Debate accreditation, Cambridge English qualifications, LAMDA communication awards), the CPS dimensions are mapped to the relevant external assessment criteria — providing a readiness indicator and gap analysis against those external standards.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2E4560"/>
                <w:sz w:val="21"/>
                <w:szCs w:val="21"/>
              </w:rPr>
              <w:t xml:space="preserve">Class &amp; Programme-Level Scoring Insights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Class communication profile: aggregated class-level CPS data shows the distribution of communication proficiency across the class — identifying classes that are collectively strong in specific dimensions and weak in others, informing which facilitation emphases are needed in upcoming sessions for that cohort.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Communication development velocity tracking: measures the rate of CPS improvement across a cohort over the academic year — classes with low development velocity despite regular participation may be experiencing facilitation quality issues or session design problems that are not producing adequate learning challenge.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Session format effectiveness analysis: compares average CPS gains across different session formats — enabling facilitators to identify which formats are most effective for developing specific communication dimensions in their specific student cohort, leading to more evidence-informed session design choices.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1E2D3B"/>
                <w:sz w:val="20"/>
                <w:szCs w:val="20"/>
              </w:rPr>
              <w:t xml:space="preserve">▸  </w:t>
            </w:r>
            <w:r>
              <w:rPr>
                <w:rFonts w:ascii="Arial" w:cs="Arial" w:eastAsia="Arial" w:hAnsi="Arial"/>
                <w:color w:val="16243A"/>
                <w:sz w:val="20"/>
                <w:szCs w:val="20"/>
              </w:rPr>
              <w:t xml:space="preserve">School communication excellence benchmarking: the school's average CPS and dimension profile is compared against anonymised platform-wide benchmarks — showing how the school's communication development programme compares to peer schools and identifying where the school is above and below sector norms.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C8D8" w:sz="1"/>
              <w:left w:val="single" w:color="B6C8D8" w:sz="1"/>
              <w:bottom w:val="single" w:color="B6C8D8" w:sz="1"/>
              <w:right w:val="single" w:color="B6C8D8" w:sz="1"/>
            </w:tcBorders>
            <w:shd w:fill="7A4100" w:val="clear"/>
            <w:tcMar>
              <w:top w:type="dxa" w:w="155"/>
              <w:left w:type="dxa" w:w="240"/>
              <w:bottom w:type="dxa" w:w="155"/>
              <w:right w:type="dxa" w:w="240"/>
            </w:tcMar>
          </w:tcPr>
          <w:p>
            <w:r>
              <w:rPr>
                <w:rFonts w:ascii="Arial" w:cs="Arial" w:eastAsia="Arial" w:hAnsi="Arial"/>
                <w:b/>
                <w:bCs/>
                <w:color w:val="FFFFFF"/>
                <w:sz w:val="24"/>
                <w:szCs w:val="24"/>
              </w:rPr>
              <w:t xml:space="preserve">6.  </w:t>
            </w:r>
            <w:r>
              <w:rPr>
                <w:rFonts w:ascii="Arial" w:cs="Arial" w:eastAsia="Arial" w:hAnsi="Arial"/>
                <w:b/>
                <w:bCs/>
                <w:color w:val="FFFFFF"/>
                <w:sz w:val="32"/>
                <w:szCs w:val="32"/>
              </w:rPr>
              <w:t xml:space="preserve">Discussion Analytics</w:t>
            </w:r>
          </w:p>
        </w:tc>
      </w:tr>
      <w:tr>
        <w:tc>
          <w:tcPr>
            <w:tcW w:type="dxa" w:w="9360"/>
            <w:tcBorders>
              <w:top w:val="single" w:color="B6C8D8" w:sz="1"/>
              <w:left w:val="single" w:color="B6C8D8" w:sz="1"/>
              <w:bottom w:val="single" w:color="B6C8D8" w:sz="1"/>
              <w:right w:val="single" w:color="B6C8D8" w:sz="1"/>
            </w:tcBorders>
            <w:shd w:fill="FAE8CC" w:val="clear"/>
            <w:tcMar>
              <w:top w:type="dxa" w:w="115"/>
              <w:left w:type="dxa" w:w="240"/>
              <w:bottom w:type="dxa" w:w="115"/>
              <w:right w:type="dxa" w:w="240"/>
            </w:tcMar>
          </w:tcPr>
          <w:p>
            <w:r>
              <w:rPr>
                <w:rFonts w:ascii="Arial" w:cs="Arial" w:eastAsia="Arial" w:hAnsi="Arial"/>
                <w:b/>
                <w:bCs/>
                <w:color w:val="7A4100"/>
                <w:sz w:val="21"/>
                <w:szCs w:val="21"/>
              </w:rPr>
              <w:t xml:space="preserve">Overview  </w:t>
            </w:r>
            <w:r>
              <w:rPr>
                <w:rFonts w:ascii="Arial" w:cs="Arial" w:eastAsia="Arial" w:hAnsi="Arial"/>
                <w:i/>
                <w:iCs/>
                <w:color w:val="16243A"/>
                <w:sz w:val="21"/>
                <w:szCs w:val="21"/>
              </w:rPr>
              <w:t xml:space="preserve">A comprehensive analytics platform that transforms the rich data generated across all Dojo discussion sessions into multi-stakeholder intelligence — surfacing patterns in participation equity, topic engagement, format effectiveness, skill development impact, and programme health to support continuous improvement at student, class, school, and programme levels.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9E5500"/>
                <w:sz w:val="21"/>
                <w:szCs w:val="21"/>
              </w:rPr>
              <w:t xml:space="preserve">Session-Level Analytics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Real-time session dashboard: during live discussions, the facilitator's analytics panel shows live metrics — total contributions made, speaking time per participant (running total), contribution length distribution (word count per turn), question-to-statement ratio (an indicator of discussion depth), and topic coverage breadth (whether the discussion has addressed the key angles of the topic defined in the pre-session brief).</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Post-session contribution quality matrix: after each session, a contribution quality analysis is generated — mapping each participant's contributions against the session's discussion structure (introduction, evidence phase, rebuttal, synthesis) to show not just how much each person contributed but when and how meaningfully they contributed at each stage.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Topic coverage depth analysis: the session transcript is analysed to measure how comprehensively the core arguments, evidence types, and perspectives pre-identified in the preparation brief were actually surfaced during the discussion — topics with persistently low coverage depth indicate preparation brief or facilitation design issues.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Discussion dynamics mapping: a visual interaction diagram showing who responded to whom during the discussion — does the conversation flow through the facilitator (hub-and-spoke, indicating facilitator-dependent discussion) or directly between students (network discussion, indicating genuine peer-to-peer dialogue)? — this structural insight is fundamental to diagnosing discussion quality.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Question quality analysis: for Socratic Seminar and inquiry-based formats, the AI analyses questions asked by students — categorising them by cognitive level (recall, clarification, analysis, synthesis, evaluation, speculation) — high proportions of higher-order questions indicate more sophisticated intellectual engagement with the topic.</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Engagement timeline: a minute-by-minute visualisation of session energy — tracking aggregate contribution frequency, speaking time, and sentiment tone across the full session — identifying when discussions peaked in energy and depth, when they flagged, and what facilitation interventions correlated with energy shifts.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9E5500"/>
                <w:sz w:val="21"/>
                <w:szCs w:val="21"/>
              </w:rPr>
              <w:t xml:space="preserve">Participation Equity Analytics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Gender participation equity report: disaggregates speaking time, contribution count, and CPS scores by gender across individual sessions and cumulatively across the academic year — identifies systematic patterns of gender-based participation inequality that require facilitation strategy adjustment.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Introvert-extrovert participation balance: using a configurable personality orientation indicator (from self-reported student data or facilitator observation), the analytics platform monitors whether discussion formats systematically disadvantage introverted students — formats with persistent introvert participation gaps are flagged for design modification.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Contribution complexity equity analysis: measures not just who speaks, but the cognitive complexity of each student's contributions — are typically quieter students making fewer but more substantive contributions? Are dominant speakers making many but shallow contributions? — this nuanced equity analysis prevents the simplistic conclusion that high speaking time equals strong participation quality.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First-contribution latency tracking: measures how long each student typically waits before making their first contribution in a session — students who consistently do not contribute until very late in sessions may need facilitation strategies specifically designed to create early entry points.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Cross-session participation pattern analysis: identifies students who participate strongly in some session formats but not in others — e.g., a student who contributes confidently in small-group formats but withdraws in whole-class debate — informing differentiated facilitation strategies and personalised format exposure planning.</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9E5500"/>
                <w:sz w:val="21"/>
                <w:szCs w:val="21"/>
              </w:rPr>
              <w:t xml:space="preserve">Programme-Level Strategic Analytics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Format effectiveness matrix: a cross-tabulation of session format against average CPS gain per dimension — showing definitively which formats are most effective for developing specific communication competencies in the school's specific student population — enabling evidence-based programme design decisions.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Topic engagement correlation: analyses which topic categories (Current Affairs, Philosophy, STEM Ethics, Literary Analysis, etc.) generate the highest quality discussions — measured by contribution depth, response directness, topic coverage breadth, and post-session reflection quality — informing future topic curation decisions.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Facilitator impact analysis: compares student CPS development trajectories for students in sessions facilitated by different facilitators — controlling for student prior ability and format — identifying facilitation practices associated with stronger student communication development for peer knowledge sharing.</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Long-term skill transfer evidence: tracks whether improvements in CPS scores correlate with observable improvements in academic written work quality, oral examination performance, and class participation frequency over time — building the evidence base for the Dojo programme's academic value proposition.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Programme reach and accessibility report: analyses what percentage of the student population participates in Dojo sessions, by grade, gender, stream, and socioeconomic category — identifies under-served groups and recommends structural changes to increase accessibility (timing changes, format variety, teacher champion identification).</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9E5500"/>
                <w:sz w:val="21"/>
                <w:szCs w:val="21"/>
              </w:rPr>
              <w:t xml:space="preserve">Data Exports &amp; External Reporting</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Raw data export for research: all session analytics data (anonymised at student level by default) is exportable in structured formats (CSV, JSON) — enabling schools or the platform's research team to conduct deeper statistical analyses, publish educational research, or submit data to external programme evaluators.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CBSE and board-mandated oral assessment records: session participation data and CPS scores generate formatted oral assessment records aligned with CBSE's Life Skills and Communication co-scholastic assessment requirements — eliminating the need for separate manual record-keeping for board compliance.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Parent analytics report: a curated analytics report is available for parents in the parent portal — showing their child's session participation history, CPS trend, strongest communication dimension, priority development area, and upcoming session schedule — in a visually accessible, non-technical format.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7A4100"/>
                <w:sz w:val="20"/>
                <w:szCs w:val="20"/>
              </w:rPr>
              <w:t xml:space="preserve">▸  </w:t>
            </w:r>
            <w:r>
              <w:rPr>
                <w:rFonts w:ascii="Arial" w:cs="Arial" w:eastAsia="Arial" w:hAnsi="Arial"/>
                <w:color w:val="16243A"/>
                <w:sz w:val="20"/>
                <w:szCs w:val="20"/>
              </w:rPr>
              <w:t xml:space="preserve">Annual Dojo Impact Report for school leadership: a comprehensive year-end analytics report for the principal and board — summarising programme reach, skill development impact, equity outcomes, top performing students, and recommendations for the next academic year's programme design — formatted as an executive presentation-ready PDF.</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C8D8" w:sz="1"/>
              <w:left w:val="single" w:color="B6C8D8" w:sz="1"/>
              <w:bottom w:val="single" w:color="B6C8D8" w:sz="1"/>
              <w:right w:val="single" w:color="B6C8D8" w:sz="1"/>
            </w:tcBorders>
            <w:shd w:fill="074A5A" w:val="clear"/>
            <w:tcMar>
              <w:top w:type="dxa" w:w="155"/>
              <w:left w:type="dxa" w:w="240"/>
              <w:bottom w:type="dxa" w:w="155"/>
              <w:right w:type="dxa" w:w="240"/>
            </w:tcMar>
          </w:tcPr>
          <w:p>
            <w:r>
              <w:rPr>
                <w:rFonts w:ascii="Arial" w:cs="Arial" w:eastAsia="Arial" w:hAnsi="Arial"/>
                <w:b/>
                <w:bCs/>
                <w:color w:val="FFFFFF"/>
                <w:sz w:val="24"/>
                <w:szCs w:val="24"/>
              </w:rPr>
              <w:t xml:space="preserve">7.  </w:t>
            </w:r>
            <w:r>
              <w:rPr>
                <w:rFonts w:ascii="Arial" w:cs="Arial" w:eastAsia="Arial" w:hAnsi="Arial"/>
                <w:b/>
                <w:bCs/>
                <w:color w:val="FFFFFF"/>
                <w:sz w:val="32"/>
                <w:szCs w:val="32"/>
              </w:rPr>
              <w:t xml:space="preserve">Mentor Moderation Tools</w:t>
            </w:r>
          </w:p>
        </w:tc>
      </w:tr>
      <w:tr>
        <w:tc>
          <w:tcPr>
            <w:tcW w:type="dxa" w:w="9360"/>
            <w:tcBorders>
              <w:top w:val="single" w:color="B6C8D8" w:sz="1"/>
              <w:left w:val="single" w:color="B6C8D8" w:sz="1"/>
              <w:bottom w:val="single" w:color="B6C8D8" w:sz="1"/>
              <w:right w:val="single" w:color="B6C8D8" w:sz="1"/>
            </w:tcBorders>
            <w:shd w:fill="CCEAF2" w:val="clear"/>
            <w:tcMar>
              <w:top w:type="dxa" w:w="115"/>
              <w:left w:type="dxa" w:w="240"/>
              <w:bottom w:type="dxa" w:w="115"/>
              <w:right w:type="dxa" w:w="240"/>
            </w:tcMar>
          </w:tcPr>
          <w:p>
            <w:r>
              <w:rPr>
                <w:rFonts w:ascii="Arial" w:cs="Arial" w:eastAsia="Arial" w:hAnsi="Arial"/>
                <w:b/>
                <w:bCs/>
                <w:color w:val="074A5A"/>
                <w:sz w:val="21"/>
                <w:szCs w:val="21"/>
              </w:rPr>
              <w:t xml:space="preserve">Overview  </w:t>
            </w:r>
            <w:r>
              <w:rPr>
                <w:rFonts w:ascii="Arial" w:cs="Arial" w:eastAsia="Arial" w:hAnsi="Arial"/>
                <w:i/>
                <w:iCs/>
                <w:color w:val="16243A"/>
                <w:sz w:val="21"/>
                <w:szCs w:val="21"/>
              </w:rPr>
              <w:t xml:space="preserve">A professional-grade facilitation and moderation toolkit that equips mentors, teachers, and external discussion coaches with the real-time controls, preparation resources, and professional development support needed to facilitate high-quality, safe, and pedagogically purposeful discussion sessions consistently and confidently.</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0A6880"/>
                <w:sz w:val="21"/>
                <w:szCs w:val="21"/>
              </w:rPr>
              <w:t xml:space="preserve">Facilitator Dashboard &amp; Live Controls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Unified facilitator command centre: a single, context-aware dashboard that consolidates all live session controls — participant management, speaking queue, timer controls, evaluation rubric, private messaging, breakout management, recording controls, and safety interventions — organised in a minimal, distraction-free layout that allows facilitators to manage logistics without losing focus on the discussion content.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One-click session flow control: predefined session flow buttons allow facilitators to transition between session phases with a single tap — e.g., 'Begin Preparation Time', 'Opening Statements', 'Open Floor', 'Begin Breakout', 'Return to Plenary', 'Final Synthesis Round', 'Close Session' — each transition automatically adjusts timer settings, participant permissions, and screen displays for all attendees.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Live topic prompt injection: facilitators can push new discussion prompts, provocations, clarifying questions, or redirecting challenges to all participants' screens at any point during the session — keeping discussions on track or escalating cognitive challenge when a discussion stagnates at a superficial level.</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Evidence display board: facilitators can project data, quotes, images, short video clips, or articles onto all participants' screens simultaneously — introducing new evidence mid-discussion to test whether students can adapt their arguments in response to new information, simulating the dynamic evidence environments of real-world professional discourse.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Session pacing visualiser: a timeline display on the facilitator's screen showing the planned session structure with current progress marked — helping facilitators manage time without resorting to frequent verbal time-checks that disrupt discussion flow, with colour-coded indicators when a phase is running over or under time.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Audience polling and real-time vote management: facilitators can launch and manage live polls and opinion votes during sessions — displaying aggregate results on all screens, using shifts in opinion as discussion data, and facilitating reflection on what arguments or evidence prompted opinion changes.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0A6880"/>
                <w:sz w:val="21"/>
                <w:szCs w:val="21"/>
              </w:rPr>
              <w:t xml:space="preserve">Facilitation Quality &amp; Preparation Resources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Session preparation guide library: every supported discussion format has an associated detailed facilitation guide — covering the theoretical rationale, step-by-step facilitation procedure, common facilitation challenges with suggested responses, timing guides, and differentiation strategies for mixed-ability groups — accessible from the room creation interface.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Discussion facilitation prompt bank: a searchable library of facilitation interventions categorised by purpose — Deepening (prompts to push superficial discussions to greater depth), Redirecting (prompts to bring off-track discussions back to the topic), Balancing (prompts to draw in underparticipating perspectives), Synthesising (prompts to help a group identify areas of agreement and persistent disagreement), and Closing (prompts to help a group reach a productive conclusion).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Real-time facilitation coaching mode: a non-visible facilitation coach (another teacher or the Dojo Coordinator) can join a session in coach mode — observing the session live and sending private suggestions to the facilitating teacher via a side channel without disrupting the discussion — providing in-the-moment mentoring for developing facilitators.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Pre-session facilitator preparation checklist: a structured digital checklist generated before each session — verifying preparation material has been distributed, participants have confirmed attendance, evaluation rubric is configured, technical setup is complete, safeguarding considerations have been reviewed, and the facilitator has reviewed the specific facilitation guide for the session's format.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Facilitation self-reflection tool: after each session, facilitators complete a brief structured self-reflection — rating their own facilitation quality against key criteria (equitable participation, intellectual challenge, time management, safety maintenance, evaluation rigour) — building metacognitive awareness of facilitation practice over time.</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0A6880"/>
                <w:sz w:val="21"/>
                <w:szCs w:val="21"/>
              </w:rPr>
              <w:t xml:space="preserve">Moderation &amp; Safety Enforcement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Community standards enforcement framework: a clearly defined, student-visible discussion community standards document is configured at the school level — covering respectful disagreement norms, evidence standards, personal privacy protections, and prohibited speech categories — facilitators reference this framework when enforcing moderation decisions, providing clear, principle-based rationale rather than arbitrary rule-application.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Escalation protocol integration: when a facilitator encounters a situation requiring escalation beyond their role — safeguarding disclosure, serious bullying, mental health crisis — a one-button escalation alert is available that immediately notifies the designated safeguarding lead, shares the session recording and chat log from the past 5 minutes, and provides the safeguarding lead with a live view of the session.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Content moderation for text channels: automated moderation filters applied to all text-based contributions (chat, written contribution panel, Q&amp;A board) — flagging potentially harmful language before it is displayed, and routing flagged content to the facilitator for approval before broadcast to the group.</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Post-session moderation review workflow: facilitators are prompted after each session to confirm that all participation met community standards — any concerning moments highlighted by the AI monitoring system are presented for facilitator review, making it easier to identify incidents that require follow-up student conversations or parental notification.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Moderation consistency audit: the platform tracks moderation decisions made by different facilitators across similar situations — identifying significant inconsistencies in how the community standards are being applied, and generating calibration recommendations to ensure all students experience equitable and predictable moderation standards.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0A6880"/>
                <w:sz w:val="21"/>
                <w:szCs w:val="21"/>
              </w:rPr>
              <w:t xml:space="preserve">Facilitator Professional Development Integration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Facilitation effectiveness analytics for CPD: each facilitator has access to their own facilitation analytics dashboard — showing patterns in how their sessions run (participation equity, discussion depth scores, CPS gains achieved by participants), compared anonymously against school-wide facilitation norms — identifying specific areas for professional development.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Video recording for reflective practice: all sessions are recorded and automatically linked to the facilitating teacher's professional development portfolio — facilitators can review their own facilitation footage, annotated with key moments flagged by the analytics system, as a powerful reflective learning tool.</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Peer observation and coaching schedule: the platform's scheduling tool can set up facilitation peer observation sessions — one teacher observes another's Dojo session in facilitator coach mode, using a structured observation protocol, and the two teachers engage in a debrief discussion afterward — formalising facilitation as a collaborative professional practice.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074A5A"/>
                <w:sz w:val="20"/>
                <w:szCs w:val="20"/>
              </w:rPr>
              <w:t xml:space="preserve">▸  </w:t>
            </w:r>
            <w:r>
              <w:rPr>
                <w:rFonts w:ascii="Arial" w:cs="Arial" w:eastAsia="Arial" w:hAnsi="Arial"/>
                <w:color w:val="16243A"/>
                <w:sz w:val="20"/>
                <w:szCs w:val="20"/>
              </w:rPr>
              <w:t xml:space="preserve">Facilitator certification pathway: teachers who complete a defined number of facilitated sessions, achieve minimum facilitation quality scores, pass a knowledge assessment on discussion pedagogy, and complete reflective practice requirements earn the platform's Certified Discussion Facilitator credential — stored in their professional profile and recognised in their performance appraisal.</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C8D8" w:sz="1"/>
              <w:left w:val="single" w:color="B6C8D8" w:sz="1"/>
              <w:bottom w:val="single" w:color="B6C8D8" w:sz="1"/>
              <w:right w:val="single" w:color="B6C8D8" w:sz="1"/>
            </w:tcBorders>
            <w:shd w:fill="2B3A4A" w:val="clear"/>
            <w:tcMar>
              <w:top w:type="dxa" w:w="155"/>
              <w:left w:type="dxa" w:w="240"/>
              <w:bottom w:type="dxa" w:w="155"/>
              <w:right w:type="dxa" w:w="240"/>
            </w:tcMar>
          </w:tcPr>
          <w:p>
            <w:r>
              <w:rPr>
                <w:rFonts w:ascii="Arial" w:cs="Arial" w:eastAsia="Arial" w:hAnsi="Arial"/>
                <w:b/>
                <w:bCs/>
                <w:color w:val="FFFFFF"/>
                <w:sz w:val="24"/>
                <w:szCs w:val="24"/>
              </w:rPr>
              <w:t xml:space="preserve">8.  </w:t>
            </w:r>
            <w:r>
              <w:rPr>
                <w:rFonts w:ascii="Arial" w:cs="Arial" w:eastAsia="Arial" w:hAnsi="Arial"/>
                <w:b/>
                <w:bCs/>
                <w:color w:val="FFFFFF"/>
                <w:sz w:val="32"/>
                <w:szCs w:val="32"/>
              </w:rPr>
              <w:t xml:space="preserve">Session Reports</w:t>
            </w:r>
          </w:p>
        </w:tc>
      </w:tr>
      <w:tr>
        <w:tc>
          <w:tcPr>
            <w:tcW w:type="dxa" w:w="9360"/>
            <w:tcBorders>
              <w:top w:val="single" w:color="B6C8D8" w:sz="1"/>
              <w:left w:val="single" w:color="B6C8D8" w:sz="1"/>
              <w:bottom w:val="single" w:color="B6C8D8" w:sz="1"/>
              <w:right w:val="single" w:color="B6C8D8" w:sz="1"/>
            </w:tcBorders>
            <w:shd w:fill="D9E4EE" w:val="clear"/>
            <w:tcMar>
              <w:top w:type="dxa" w:w="115"/>
              <w:left w:type="dxa" w:w="240"/>
              <w:bottom w:type="dxa" w:w="115"/>
              <w:right w:type="dxa" w:w="240"/>
            </w:tcMar>
          </w:tcPr>
          <w:p>
            <w:r>
              <w:rPr>
                <w:rFonts w:ascii="Arial" w:cs="Arial" w:eastAsia="Arial" w:hAnsi="Arial"/>
                <w:b/>
                <w:bCs/>
                <w:color w:val="2B3A4A"/>
                <w:sz w:val="21"/>
                <w:szCs w:val="21"/>
              </w:rPr>
              <w:t xml:space="preserve">Overview  </w:t>
            </w:r>
            <w:r>
              <w:rPr>
                <w:rFonts w:ascii="Arial" w:cs="Arial" w:eastAsia="Arial" w:hAnsi="Arial"/>
                <w:i/>
                <w:iCs/>
                <w:color w:val="16243A"/>
                <w:sz w:val="21"/>
                <w:szCs w:val="21"/>
              </w:rPr>
              <w:t xml:space="preserve">A comprehensive, automated reporting system that distils the full richness of each discussion session's participation, evaluation, communication skill, and facilitation quality data into structured, audience-appropriate reports — delivering actionable insights to students, parents, facilitators, academic coordinators, and school leadership with minimal manual reporting burden.</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3A5068"/>
                <w:sz w:val="21"/>
                <w:szCs w:val="21"/>
              </w:rPr>
              <w:t xml:space="preserve">Student Session Performance Reports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Individual session performance report: generated automatically within 24 hours of session completion for each participant — covering session identification details (date, format, topic, facilitator), participation summary (number of contributions, total speaking time, speaking time as % of session), dimension-by-dimension CPS scores, facilitator qualitative comment, peer evaluation summary, and self-evaluation reflection — presented in a clean, student-readable format with data visualisations.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Strengths and development focus summary: every student report includes an AI-generated plain-language summary of the student's top three communication strengths demonstrated in the session and one clearly articulated development focus for their next session — framed positively as 'Your next growth opportunity is…' rather than 'You need to improve…'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Contribution transcript extract: the student receives a curated selection of their own contributions from the session transcript — 3–5 representative excerpts selected by the AI for showcasing the student's best arguments, most creative questions, or clearest explanations — allowing the student to read their own best work as a source of pride and learning.</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Progress context cards: each session report is contextualised within the student's running CPS trend — showing the current session score against their last three session scores with a trend arrow, so students always know whether they are improving, plateauing, or experiencing a temporary dip — making individual reports part of a continuous developmental narrative rather than isolated evaluations.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Next session preparation recommendations: based on the session's evaluation data, the report includes 2–3 specific, actionable preparation suggestions for the student's next discussion session — recommended practice activities from the platform's communication skill course library, specific skills to focus on, and a reminder of which format the next session will use.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Report sharing controls: students can share their session reports externally — for college applications, scholarship submissions, or programme portfolios — via a secure, read-only link that displays the report in a professional format without exposing other students' data or the facilitator's internal notes.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3A5068"/>
                <w:sz w:val="21"/>
                <w:szCs w:val="21"/>
              </w:rPr>
              <w:t xml:space="preserve">Facilitator Session Debrief Report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Comprehensive session analytics summary: the facilitator receives a full post-session analytics report — session overview statistics, participant-by-participant performance summary, participation equity metrics, discussion quality indicators (topic coverage depth, interaction network pattern, cognitive level distribution), time management actuals vs. plan, and any safety or moderation incidents logged during the session.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Evaluation consistency check: the report includes a calibration quality indicator — comparing the facilitator's rubric scores against the CPS AI-generated dimension scores and peer evaluation scores for the same participants — significant divergences are flagged with the specific participants and criteria where the facilitator's scores diverge most, prompting reflective consideration.</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Facilitation effectiveness score: a composite score reflecting the session's communication development outcomes — calculated from the average CPS gain across participants, participation equity score, discussion depth indicator, and student post-session feedback ratings — trended across the facilitator's full session history to show facilitation quality development over time.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Student development tracking summary: for each participant, a brief development status summary — showing their running CPS, trajectory since the previous session, and any concerning patterns (persistent non-participation, significant score drop, engagement disengagement indicator) — enabling the facilitator to make targeted follow-up plans for individual students.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Curriculum and skill coverage log: the session's contribution to the school's skill development curriculum is documented — which skill competencies were developed, to what extent, and for which students — automatically updating the skill coverage records for each participant's profile without requiring manual logging from the facilitator.</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Session content and resource quality notes: facilitators add brief qualitative notes about the session's preparation materials — noting which resources generated the best discussion, which were ignored or poorly received, and any improvements to suggest for future sessions using the same topic or format — building the school's institutional knowledge about what works.</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3A5068"/>
                <w:sz w:val="21"/>
                <w:szCs w:val="21"/>
              </w:rPr>
              <w:t xml:space="preserve">Parent Engagement Reports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Parent session outcome notification: immediately after a student's session report is finalised, parents receive a concise session outcome notification — three sentences covering how the student participated, one strength highlighted, and the student's CPS trend direction — delivered via push notification, email, or WhatsApp as per the parent's communication preference.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Quarterly Dojo progress report: a comprehensive quarterly report delivered to parents — summarising all sessions participated in during the term, overall CPS trajectory, most improved dimension, top session performance highlights, and a facilitator narrative comment covering the student's communication development arc across the term.</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Parent-facilitator conference report: before parent-teacher meetings, the system generates a structured discussion preparation card for the Dojo component — covering the student's key achievements, priority development area, specific session highlights the facilitator wants to discuss with the parent, and 2–3 suggested home activities to support communication development.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Plain-language CPS explanation: first-time parents receiving CPS reports receive an onboarding explainer — clearly describing what each dimension measures, what the scores mean, how they are determined, and how parents can support their child's communication development at home — reducing the risk of misinterpretation of evaluation data.</w:t>
            </w:r>
          </w:p>
        </w:tc>
      </w:tr>
      <w:tr>
        <w:tc>
          <w:tcPr>
            <w:tcW w:type="dxa" w:w="9360"/>
            <w:tcBorders>
              <w:top w:val="single" w:color="B6C8D8" w:sz="1"/>
              <w:left w:val="single" w:color="B6C8D8" w:sz="1"/>
              <w:bottom w:val="single" w:color="B6C8D8" w:sz="1"/>
              <w:right w:val="single" w:color="B6C8D8" w:sz="1"/>
            </w:tcBorders>
            <w:shd w:fill="F2F6FA" w:val="clear"/>
            <w:tcMar>
              <w:top w:type="dxa" w:w="100"/>
              <w:left w:type="dxa" w:w="240"/>
              <w:bottom w:type="dxa" w:w="10"/>
              <w:right w:type="dxa" w:w="240"/>
            </w:tcMar>
          </w:tcPr>
          <w:p>
            <w:pPr>
              <w:spacing w:before="50" w:after="0"/>
            </w:pPr>
            <w:r>
              <w:rPr>
                <w:rFonts w:ascii="Arial" w:cs="Arial" w:eastAsia="Arial" w:hAnsi="Arial"/>
                <w:b/>
                <w:bCs/>
                <w:color w:val="3A5068"/>
                <w:sz w:val="21"/>
                <w:szCs w:val="21"/>
              </w:rPr>
              <w:t xml:space="preserve">Institutional &amp; Programme-Level Reports</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Monthly programme health report: auto-generated monthly report for the Dojo Coordinator and academic leadership — covering sessions delivered vs. scheduled, student participation rates, average CPS and trend, equity indicators, top performers, students needing support, facilitator activity levels, and system usage statistics — providing a real-time health check on the programme.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Term-end Dojo programme impact report: a comprehensive term-end report for the principal — documenting the full scope of Dojo activity in the term, aggregate skill development outcomes, participation equity analysis, facilitator quality indicators, cost and time investment summary, and a data-backed narrative of the programme's impact on student communication development.</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Board and accreditation evidence report: a specially formatted report meeting the documentation requirements of CBSE co-scholastic assessment records, NAAC evidence requirements, and NEP 2020 implementation reporting — providing ready-to-submit evidence of the school's structured communication and life skills education programme.</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Inter-school benchmarking report: for schools in multi-school networks or trusts, a cross-school comparison report shows how the school's Dojo programme metrics compare against network peers — participation rates, average CPS scores by grade, equity indicators, and programme breadth — identifying best practices to transfer and areas where peer support could accelerate programme quality.</w:t>
            </w:r>
          </w:p>
        </w:tc>
      </w:tr>
      <w:tr>
        <w:tc>
          <w:tcPr>
            <w:tcW w:type="dxa" w:w="9360"/>
            <w:tcBorders>
              <w:top w:val="single" w:color="B6C8D8" w:sz="1"/>
              <w:left w:val="single" w:color="B6C8D8" w:sz="1"/>
              <w:bottom w:val="single" w:color="B6C8D8" w:sz="1"/>
              <w:right w:val="single" w:color="B6C8D8" w:sz="1"/>
            </w:tcBorders>
            <w:shd w:fill="FFFFFF" w:val="clear"/>
            <w:tcMar>
              <w:top w:type="dxa" w:w="65"/>
              <w:left w:type="dxa" w:w="400"/>
              <w:bottom w:type="dxa" w:w="65"/>
              <w:right w:type="dxa" w:w="240"/>
            </w:tcMar>
          </w:tcPr>
          <w:p>
            <w:pPr>
              <w:spacing w:before="30" w:after="30"/>
            </w:pPr>
            <w:r>
              <w:rPr>
                <w:rFonts w:ascii="Arial" w:cs="Arial" w:eastAsia="Arial" w:hAnsi="Arial"/>
                <w:color w:val="2B3A4A"/>
                <w:sz w:val="20"/>
                <w:szCs w:val="20"/>
              </w:rPr>
              <w:t xml:space="preserve">▸  </w:t>
            </w:r>
            <w:r>
              <w:rPr>
                <w:rFonts w:ascii="Arial" w:cs="Arial" w:eastAsia="Arial" w:hAnsi="Arial"/>
                <w:color w:val="16243A"/>
                <w:sz w:val="20"/>
                <w:szCs w:val="20"/>
              </w:rPr>
              <w:t xml:space="preserve">Student cohort progression report: for each annual cohort (year group), a longitudinal report tracking communication skill development from the cohort's first year of Dojo participation through to their current grade — demonstrating the cumulative impact of multi-year programme participation on communication competency development, and providing compelling evidence for sustaining and investing in the programme.</w:t>
            </w:r>
          </w:p>
        </w:tc>
      </w:tr>
    </w:tbl>
    <w:p>
      <w:pPr>
        <w:spacing w:before="260" w:after="0"/>
      </w:pPr>
      <w:r>
        <w:t xml:space="preserve"/>
      </w:r>
    </w:p>
    <w:p>
      <w:r>
        <w:br w:type="page"/>
      </w:r>
    </w:p>
    <w:p>
      <w:pPr>
        <w:pBdr>
          <w:top w:val="single" w:color="7B0D1E" w:sz="6" w:space="6"/>
        </w:pBdr>
        <w:spacing w:before="240" w:after="120"/>
        <w:jc w:val="center"/>
      </w:pPr>
      <w:r>
        <w:rPr>
          <w:rFonts w:ascii="Arial" w:cs="Arial" w:eastAsia="Arial" w:hAnsi="Arial"/>
          <w:b/>
          <w:bCs/>
          <w:color w:val="7B0D1E"/>
          <w:sz w:val="18"/>
          <w:szCs w:val="18"/>
        </w:rPr>
        <w:t xml:space="preserve">CONFIDENTIAL — For Internal Use Only</w:t>
      </w:r>
    </w:p>
    <w:p>
      <w:pPr>
        <w:jc w:val="center"/>
      </w:pPr>
      <w:r>
        <w:rPr>
          <w:rFonts w:ascii="Arial" w:cs="Arial" w:eastAsia="Arial" w:hAnsi="Arial"/>
          <w:color w:val="5A6B7C"/>
          <w:sz w:val="18"/>
          <w:szCs w:val="18"/>
        </w:rPr>
        <w:t xml:space="preserve">This document describes planned product features and is subject to change without notice. © 2026 School Management Platform.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0D1E" w:sz="4" w:space="4"/>
      </w:pBdr>
      <w:tabs>
        <w:tab w:val="right" w:pos="9026"/>
      </w:tabs>
      <w:spacing w:before="80"/>
    </w:pPr>
    <w:r>
      <w:rPr>
        <w:rFonts w:ascii="Arial" w:cs="Arial" w:eastAsia="Arial" w:hAnsi="Arial"/>
        <w:color w:val="5A6B7C"/>
        <w:sz w:val="18"/>
        <w:szCs w:val="18"/>
      </w:rPr>
      <w:t xml:space="preserve">Confidential</w:t>
    </w:r>
    <w:r>
      <w:rPr>
        <w:rFonts w:ascii="Arial" w:cs="Arial" w:eastAsia="Arial" w:hAnsi="Arial"/>
        <w:color w:val="5A6B7C"/>
        <w:sz w:val="18"/>
        <w:szCs w:val="18"/>
      </w:rPr>
      <w:t xml:space="preserve">	Page </w:t>
    </w:r>
    <w:r>
      <w:rPr>
        <w:rFonts w:ascii="Arial" w:cs="Arial" w:eastAsia="Arial" w:hAnsi="Arial"/>
        <w:color w:val="7B0D1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0D1E" w:sz="4" w:space="4"/>
      </w:pBdr>
      <w:spacing w:after="80"/>
    </w:pPr>
    <w:r>
      <w:rPr>
        <w:rFonts w:ascii="Arial" w:cs="Arial" w:eastAsia="Arial" w:hAnsi="Arial"/>
        <w:color w:val="5A6B7C"/>
        <w:sz w:val="18"/>
        <w:szCs w:val="18"/>
      </w:rPr>
      <w:t xml:space="preserve">School Management Platform  |  Module G: Dojo Discussion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4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2026-03-09T08:22:16.504Z</dcterms:created>
  <dcterms:modified xsi:type="dcterms:W3CDTF">2026-03-09T08:22:16.570Z</dcterms:modified>
</cp:coreProperties>
</file>

<file path=docProps/custom.xml><?xml version="1.0" encoding="utf-8"?>
<Properties xmlns="http://schemas.openxmlformats.org/officeDocument/2006/custom-properties" xmlns:vt="http://schemas.openxmlformats.org/officeDocument/2006/docPropsVTypes"/>
</file>