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after="0"/>
      </w:pPr>
      <w:r>
        <w:t xml:space="preserve"/>
      </w:r>
    </w:p>
    <w:p>
      <w:pPr>
        <w:spacing w:before="0" w:after="100"/>
        <w:jc w:val="center"/>
      </w:pPr>
      <w:r>
        <w:rPr>
          <w:rFonts w:ascii="Arial" w:cs="Arial" w:eastAsia="Arial" w:hAnsi="Arial"/>
          <w:b/>
          <w:bCs/>
          <w:caps/>
          <w:color w:val="0D3B6E"/>
          <w:sz w:val="26"/>
          <w:szCs w:val="26"/>
        </w:rPr>
        <w:t xml:space="preserve">SCHOOL MANAGEMENT PLATFORM</w:t>
      </w:r>
    </w:p>
    <w:p>
      <w:pPr>
        <w:spacing w:before="0" w:after="100"/>
        <w:jc w:val="center"/>
      </w:pPr>
      <w:r>
        <w:rPr>
          <w:rFonts w:ascii="Arial" w:cs="Arial" w:eastAsia="Arial" w:hAnsi="Arial"/>
          <w:b/>
          <w:bCs/>
          <w:color w:val="090F1A"/>
          <w:sz w:val="58"/>
          <w:szCs w:val="58"/>
        </w:rPr>
        <w:t xml:space="preserve">Product Feature Specification</w:t>
      </w:r>
    </w:p>
    <w:p>
      <w:pPr>
        <w:spacing w:before="0" w:after="700"/>
        <w:jc w:val="center"/>
      </w:pPr>
      <w:r>
        <w:rPr>
          <w:rFonts w:ascii="Arial" w:cs="Arial" w:eastAsia="Arial" w:hAnsi="Arial"/>
          <w:b/>
          <w:bCs/>
          <w:color w:val="1565C0"/>
          <w:sz w:val="34"/>
          <w:szCs w:val="34"/>
        </w:rPr>
        <w:t xml:space="preserve">Module F: Skill Development System</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c>
          <w:tcPr>
            <w:tcW w:type="dxa" w:w="3200"/>
            <w:tcBorders>
              <w:top w:val="single" w:color="B8CDDE" w:sz="1"/>
              <w:left w:val="single" w:color="B8CDDE" w:sz="1"/>
              <w:bottom w:val="single" w:color="B8CDDE" w:sz="1"/>
              <w:right w:val="single" w:color="B8CDDE" w:sz="1"/>
            </w:tcBorders>
            <w:shd w:fill="0D3B6E" w:val="clear"/>
            <w:tcMar>
              <w:top w:type="dxa" w:w="120"/>
              <w:left w:type="dxa" w:w="200"/>
              <w:bottom w:type="dxa" w:w="120"/>
              <w:right w:type="dxa" w:w="200"/>
            </w:tcMar>
          </w:tcPr>
          <w:p>
            <w:r>
              <w:rPr>
                <w:rFonts w:ascii="Arial" w:cs="Arial" w:eastAsia="Arial" w:hAnsi="Arial"/>
                <w:b/>
                <w:bCs/>
                <w:color w:val="FFFFFF"/>
                <w:sz w:val="21"/>
                <w:szCs w:val="21"/>
              </w:rPr>
              <w:t xml:space="preserve">Document Version</w:t>
            </w:r>
          </w:p>
        </w:tc>
        <w:tc>
          <w:tcPr>
            <w:tcW w:type="dxa" w:w="3200"/>
            <w:tcBorders>
              <w:top w:val="single" w:color="B8CDDE" w:sz="1"/>
              <w:left w:val="single" w:color="B8CDDE" w:sz="1"/>
              <w:bottom w:val="single" w:color="B8CDDE" w:sz="1"/>
              <w:right w:val="single" w:color="B8CDDE" w:sz="1"/>
            </w:tcBorders>
            <w:shd w:fill="D4E6F8" w:val="clear"/>
            <w:tcMar>
              <w:top w:type="dxa" w:w="120"/>
              <w:left w:type="dxa" w:w="200"/>
              <w:bottom w:type="dxa" w:w="120"/>
              <w:right w:type="dxa" w:w="200"/>
            </w:tcMar>
          </w:tcPr>
          <w:p>
            <w:r>
              <w:rPr>
                <w:rFonts w:ascii="Arial" w:cs="Arial" w:eastAsia="Arial" w:hAnsi="Arial"/>
                <w:color w:val="090F1A"/>
                <w:sz w:val="21"/>
                <w:szCs w:val="21"/>
              </w:rPr>
              <w:t xml:space="preserve">1.0</w:t>
            </w:r>
          </w:p>
        </w:tc>
      </w:tr>
      <w:tr>
        <w:tc>
          <w:tcPr>
            <w:tcW w:type="dxa" w:w="3200"/>
            <w:tcBorders>
              <w:top w:val="single" w:color="B8CDDE" w:sz="1"/>
              <w:left w:val="single" w:color="B8CDDE" w:sz="1"/>
              <w:bottom w:val="single" w:color="B8CDDE" w:sz="1"/>
              <w:right w:val="single" w:color="B8CDDE" w:sz="1"/>
            </w:tcBorders>
            <w:shd w:fill="0D3B6E" w:val="clear"/>
            <w:tcMar>
              <w:top w:type="dxa" w:w="120"/>
              <w:left w:type="dxa" w:w="200"/>
              <w:bottom w:type="dxa" w:w="120"/>
              <w:right w:type="dxa" w:w="200"/>
            </w:tcMar>
          </w:tcPr>
          <w:p>
            <w:r>
              <w:rPr>
                <w:rFonts w:ascii="Arial" w:cs="Arial" w:eastAsia="Arial" w:hAnsi="Arial"/>
                <w:b/>
                <w:bCs/>
                <w:color w:val="FFFFFF"/>
                <w:sz w:val="21"/>
                <w:szCs w:val="21"/>
              </w:rPr>
              <w:t xml:space="preserve">Date</w:t>
            </w:r>
          </w:p>
        </w:tc>
        <w:tc>
          <w:tcPr>
            <w:tcW w:type="dxa" w:w="3200"/>
            <w:tcBorders>
              <w:top w:val="single" w:color="B8CDDE" w:sz="1"/>
              <w:left w:val="single" w:color="B8CDDE" w:sz="1"/>
              <w:bottom w:val="single" w:color="B8CDDE" w:sz="1"/>
              <w:right w:val="single" w:color="B8CDDE" w:sz="1"/>
            </w:tcBorders>
            <w:shd w:fill="D4E6F8" w:val="clear"/>
            <w:tcMar>
              <w:top w:type="dxa" w:w="120"/>
              <w:left w:type="dxa" w:w="200"/>
              <w:bottom w:type="dxa" w:w="120"/>
              <w:right w:type="dxa" w:w="200"/>
            </w:tcMar>
          </w:tcPr>
          <w:p>
            <w:r>
              <w:rPr>
                <w:rFonts w:ascii="Arial" w:cs="Arial" w:eastAsia="Arial" w:hAnsi="Arial"/>
                <w:color w:val="090F1A"/>
                <w:sz w:val="21"/>
                <w:szCs w:val="21"/>
              </w:rPr>
              <w:t xml:space="preserve">March 2026</w:t>
            </w:r>
          </w:p>
        </w:tc>
      </w:tr>
      <w:tr>
        <w:tc>
          <w:tcPr>
            <w:tcW w:type="dxa" w:w="3200"/>
            <w:tcBorders>
              <w:top w:val="single" w:color="B8CDDE" w:sz="1"/>
              <w:left w:val="single" w:color="B8CDDE" w:sz="1"/>
              <w:bottom w:val="single" w:color="B8CDDE" w:sz="1"/>
              <w:right w:val="single" w:color="B8CDDE" w:sz="1"/>
            </w:tcBorders>
            <w:shd w:fill="0D3B6E" w:val="clear"/>
            <w:tcMar>
              <w:top w:type="dxa" w:w="120"/>
              <w:left w:type="dxa" w:w="200"/>
              <w:bottom w:type="dxa" w:w="120"/>
              <w:right w:type="dxa" w:w="200"/>
            </w:tcMar>
          </w:tcPr>
          <w:p>
            <w:r>
              <w:rPr>
                <w:rFonts w:ascii="Arial" w:cs="Arial" w:eastAsia="Arial" w:hAnsi="Arial"/>
                <w:b/>
                <w:bCs/>
                <w:color w:val="FFFFFF"/>
                <w:sz w:val="21"/>
                <w:szCs w:val="21"/>
              </w:rPr>
              <w:t xml:space="preserve">Module</w:t>
            </w:r>
          </w:p>
        </w:tc>
        <w:tc>
          <w:tcPr>
            <w:tcW w:type="dxa" w:w="3200"/>
            <w:tcBorders>
              <w:top w:val="single" w:color="B8CDDE" w:sz="1"/>
              <w:left w:val="single" w:color="B8CDDE" w:sz="1"/>
              <w:bottom w:val="single" w:color="B8CDDE" w:sz="1"/>
              <w:right w:val="single" w:color="B8CDDE" w:sz="1"/>
            </w:tcBorders>
            <w:shd w:fill="D4E6F8" w:val="clear"/>
            <w:tcMar>
              <w:top w:type="dxa" w:w="120"/>
              <w:left w:type="dxa" w:w="200"/>
              <w:bottom w:type="dxa" w:w="120"/>
              <w:right w:type="dxa" w:w="200"/>
            </w:tcMar>
          </w:tcPr>
          <w:p>
            <w:r>
              <w:rPr>
                <w:rFonts w:ascii="Arial" w:cs="Arial" w:eastAsia="Arial" w:hAnsi="Arial"/>
                <w:color w:val="090F1A"/>
                <w:sz w:val="21"/>
                <w:szCs w:val="21"/>
              </w:rPr>
              <w:t xml:space="preserve">F — Skill Development System</w:t>
            </w:r>
          </w:p>
        </w:tc>
      </w:tr>
      <w:tr>
        <w:tc>
          <w:tcPr>
            <w:tcW w:type="dxa" w:w="3200"/>
            <w:tcBorders>
              <w:top w:val="single" w:color="B8CDDE" w:sz="1"/>
              <w:left w:val="single" w:color="B8CDDE" w:sz="1"/>
              <w:bottom w:val="single" w:color="B8CDDE" w:sz="1"/>
              <w:right w:val="single" w:color="B8CDDE" w:sz="1"/>
            </w:tcBorders>
            <w:shd w:fill="0D3B6E" w:val="clear"/>
            <w:tcMar>
              <w:top w:type="dxa" w:w="120"/>
              <w:left w:type="dxa" w:w="200"/>
              <w:bottom w:type="dxa" w:w="120"/>
              <w:right w:type="dxa" w:w="200"/>
            </w:tcMar>
          </w:tcPr>
          <w:p>
            <w:r>
              <w:rPr>
                <w:rFonts w:ascii="Arial" w:cs="Arial" w:eastAsia="Arial" w:hAnsi="Arial"/>
                <w:b/>
                <w:bCs/>
                <w:color w:val="FFFFFF"/>
                <w:sz w:val="21"/>
                <w:szCs w:val="21"/>
              </w:rPr>
              <w:t xml:space="preserve">Total Features</w:t>
            </w:r>
          </w:p>
        </w:tc>
        <w:tc>
          <w:tcPr>
            <w:tcW w:type="dxa" w:w="3200"/>
            <w:tcBorders>
              <w:top w:val="single" w:color="B8CDDE" w:sz="1"/>
              <w:left w:val="single" w:color="B8CDDE" w:sz="1"/>
              <w:bottom w:val="single" w:color="B8CDDE" w:sz="1"/>
              <w:right w:val="single" w:color="B8CDDE" w:sz="1"/>
            </w:tcBorders>
            <w:shd w:fill="D4E6F8" w:val="clear"/>
            <w:tcMar>
              <w:top w:type="dxa" w:w="120"/>
              <w:left w:type="dxa" w:w="200"/>
              <w:bottom w:type="dxa" w:w="120"/>
              <w:right w:type="dxa" w:w="200"/>
            </w:tcMar>
          </w:tcPr>
          <w:p>
            <w:r>
              <w:rPr>
                <w:rFonts w:ascii="Arial" w:cs="Arial" w:eastAsia="Arial" w:hAnsi="Arial"/>
                <w:color w:val="090F1A"/>
                <w:sz w:val="21"/>
                <w:szCs w:val="21"/>
              </w:rPr>
              <w:t xml:space="preserve">8</w:t>
            </w:r>
          </w:p>
        </w:tc>
      </w:tr>
      <w:tr>
        <w:tc>
          <w:tcPr>
            <w:tcW w:type="dxa" w:w="3200"/>
            <w:tcBorders>
              <w:top w:val="single" w:color="B8CDDE" w:sz="1"/>
              <w:left w:val="single" w:color="B8CDDE" w:sz="1"/>
              <w:bottom w:val="single" w:color="B8CDDE" w:sz="1"/>
              <w:right w:val="single" w:color="B8CDDE" w:sz="1"/>
            </w:tcBorders>
            <w:shd w:fill="0D3B6E" w:val="clear"/>
            <w:tcMar>
              <w:top w:type="dxa" w:w="120"/>
              <w:left w:type="dxa" w:w="200"/>
              <w:bottom w:type="dxa" w:w="120"/>
              <w:right w:type="dxa" w:w="200"/>
            </w:tcMar>
          </w:tcPr>
          <w:p>
            <w:r>
              <w:rPr>
                <w:rFonts w:ascii="Arial" w:cs="Arial" w:eastAsia="Arial" w:hAnsi="Arial"/>
                <w:b/>
                <w:bCs/>
                <w:color w:val="FFFFFF"/>
                <w:sz w:val="21"/>
                <w:szCs w:val="21"/>
              </w:rPr>
              <w:t xml:space="preserve">Status</w:t>
            </w:r>
          </w:p>
        </w:tc>
        <w:tc>
          <w:tcPr>
            <w:tcW w:type="dxa" w:w="3200"/>
            <w:tcBorders>
              <w:top w:val="single" w:color="B8CDDE" w:sz="1"/>
              <w:left w:val="single" w:color="B8CDDE" w:sz="1"/>
              <w:bottom w:val="single" w:color="B8CDDE" w:sz="1"/>
              <w:right w:val="single" w:color="B8CDDE" w:sz="1"/>
            </w:tcBorders>
            <w:shd w:fill="D4E6F8" w:val="clear"/>
            <w:tcMar>
              <w:top w:type="dxa" w:w="120"/>
              <w:left w:type="dxa" w:w="200"/>
              <w:bottom w:type="dxa" w:w="120"/>
              <w:right w:type="dxa" w:w="200"/>
            </w:tcMar>
          </w:tcPr>
          <w:p>
            <w:r>
              <w:rPr>
                <w:rFonts w:ascii="Arial" w:cs="Arial" w:eastAsia="Arial" w:hAnsi="Arial"/>
                <w:color w:val="090F1A"/>
                <w:sz w:val="21"/>
                <w:szCs w:val="21"/>
              </w:rPr>
              <w:t xml:space="preserve">Final Draft</w:t>
            </w:r>
          </w:p>
        </w:tc>
      </w:tr>
    </w:tbl>
    <w:p>
      <w:r>
        <w:br w:type="page"/>
      </w:r>
    </w:p>
    <w:p>
      <w:pPr>
        <w:pBdr>
          <w:bottom w:val="single" w:color="0D3B6E" w:sz="10" w:space="6"/>
        </w:pBdr>
        <w:spacing w:before="460" w:after="220"/>
      </w:pPr>
      <w:r>
        <w:rPr>
          <w:rFonts w:ascii="Arial" w:cs="Arial" w:eastAsia="Arial" w:hAnsi="Arial"/>
          <w:b/>
          <w:bCs/>
          <w:color w:val="090F1A"/>
          <w:sz w:val="40"/>
          <w:szCs w:val="40"/>
        </w:rPr>
        <w:t xml:space="preserve">F. Skill Development System — Feature Details</w:t>
      </w:r>
    </w:p>
    <w:p>
      <w:pPr>
        <w:spacing w:before="80" w:after="380"/>
      </w:pPr>
      <w:r>
        <w:rPr>
          <w:rFonts w:ascii="Arial" w:cs="Arial" w:eastAsia="Arial" w:hAnsi="Arial"/>
          <w:i/>
          <w:iCs/>
          <w:color w:val="162232"/>
          <w:sz w:val="22"/>
          <w:szCs w:val="22"/>
        </w:rPr>
        <w:t xml:space="preserve">The Skill Development System is the platform's most forward-looking module — purpose-built to ensure that every student graduates not just academically qualified but genuinely competent in the 21st-century skills that define career readiness, personal effectiveness, and lifelong learning. The eight features in this module collectively span skill course design, authentic competency assessment, diagnostic gap analysis, longitudinal progress tracking, live industry alignment, blockchain-verified certification, motivational leaderboard architecture, and deep analytics intelligence. Each feature is described in comprehensive functional depth, covering design philosophy, technical architecture, pedagogical rationale, and institutional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DDE" w:sz="1"/>
              <w:left w:val="single" w:color="B8CDDE" w:sz="1"/>
              <w:bottom w:val="single" w:color="B8CDDE" w:sz="1"/>
              <w:right w:val="single" w:color="B8CDDE" w:sz="1"/>
            </w:tcBorders>
            <w:shd w:fill="0D3B6E" w:val="clear"/>
            <w:tcMar>
              <w:top w:type="dxa" w:w="155"/>
              <w:left w:type="dxa" w:w="240"/>
              <w:bottom w:type="dxa" w:w="155"/>
              <w:right w:type="dxa" w:w="240"/>
            </w:tcMar>
          </w:tcPr>
          <w:p>
            <w:r>
              <w:rPr>
                <w:rFonts w:ascii="Arial" w:cs="Arial" w:eastAsia="Arial" w:hAnsi="Arial"/>
                <w:b/>
                <w:bCs/>
                <w:color w:val="FFFFFF"/>
                <w:sz w:val="24"/>
                <w:szCs w:val="24"/>
              </w:rPr>
              <w:t xml:space="preserve">1.  </w:t>
            </w:r>
            <w:r>
              <w:rPr>
                <w:rFonts w:ascii="Arial" w:cs="Arial" w:eastAsia="Arial" w:hAnsi="Arial"/>
                <w:b/>
                <w:bCs/>
                <w:color w:val="FFFFFF"/>
                <w:sz w:val="32"/>
                <w:szCs w:val="32"/>
              </w:rPr>
              <w:t xml:space="preserve">Skill Course Creation</w:t>
            </w:r>
          </w:p>
        </w:tc>
      </w:tr>
      <w:tr>
        <w:tc>
          <w:tcPr>
            <w:tcW w:type="dxa" w:w="9360"/>
            <w:tcBorders>
              <w:top w:val="single" w:color="B8CDDE" w:sz="1"/>
              <w:left w:val="single" w:color="B8CDDE" w:sz="1"/>
              <w:bottom w:val="single" w:color="B8CDDE" w:sz="1"/>
              <w:right w:val="single" w:color="B8CDDE" w:sz="1"/>
            </w:tcBorders>
            <w:shd w:fill="D4E6F8" w:val="clear"/>
            <w:tcMar>
              <w:top w:type="dxa" w:w="115"/>
              <w:left w:type="dxa" w:w="240"/>
              <w:bottom w:type="dxa" w:w="115"/>
              <w:right w:type="dxa" w:w="240"/>
            </w:tcMar>
          </w:tcPr>
          <w:p>
            <w:r>
              <w:rPr>
                <w:rFonts w:ascii="Arial" w:cs="Arial" w:eastAsia="Arial" w:hAnsi="Arial"/>
                <w:b/>
                <w:bCs/>
                <w:color w:val="0D3B6E"/>
                <w:sz w:val="21"/>
                <w:szCs w:val="21"/>
              </w:rPr>
              <w:t xml:space="preserve">Overview  </w:t>
            </w:r>
            <w:r>
              <w:rPr>
                <w:rFonts w:ascii="Arial" w:cs="Arial" w:eastAsia="Arial" w:hAnsi="Arial"/>
                <w:i/>
                <w:iCs/>
                <w:color w:val="162232"/>
                <w:sz w:val="21"/>
                <w:szCs w:val="21"/>
              </w:rPr>
              <w:t xml:space="preserve">A dedicated course authoring environment purpose-built for skill-based, competency-driven learning — distinct from academic curriculum courses in its focus on observable behavioural outcomes, practical application, and progressive mastery of specific workplace-ready and life-ready skills across cognitive, social, emotional, and technical domains.</w:t>
            </w:r>
          </w:p>
        </w:tc>
      </w:tr>
      <w:tr>
        <w:tc>
          <w:tcPr>
            <w:tcW w:type="dxa" w:w="9360"/>
            <w:tcBorders>
              <w:top w:val="single" w:color="B8CDDE" w:sz="1"/>
              <w:left w:val="single" w:color="B8CDDE" w:sz="1"/>
              <w:bottom w:val="single" w:color="B8CDDE" w:sz="1"/>
              <w:right w:val="single" w:color="B8CDDE" w:sz="1"/>
            </w:tcBorders>
            <w:shd w:fill="F2F5F9" w:val="clear"/>
            <w:tcMar>
              <w:top w:type="dxa" w:w="100"/>
              <w:left w:type="dxa" w:w="240"/>
              <w:bottom w:type="dxa" w:w="10"/>
              <w:right w:type="dxa" w:w="240"/>
            </w:tcMar>
          </w:tcPr>
          <w:p>
            <w:pPr>
              <w:spacing w:before="50" w:after="0"/>
            </w:pPr>
            <w:r>
              <w:rPr>
                <w:rFonts w:ascii="Arial" w:cs="Arial" w:eastAsia="Arial" w:hAnsi="Arial"/>
                <w:b/>
                <w:bCs/>
                <w:color w:val="1565C0"/>
                <w:sz w:val="21"/>
                <w:szCs w:val="21"/>
              </w:rPr>
              <w:t xml:space="preserve">Skill Course Architecture &amp; Framework Alignment</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D3B6E"/>
                <w:sz w:val="20"/>
                <w:szCs w:val="20"/>
              </w:rPr>
              <w:t xml:space="preserve">▸  </w:t>
            </w:r>
            <w:r>
              <w:rPr>
                <w:rFonts w:ascii="Arial" w:cs="Arial" w:eastAsia="Arial" w:hAnsi="Arial"/>
                <w:color w:val="162232"/>
                <w:sz w:val="20"/>
                <w:szCs w:val="20"/>
              </w:rPr>
              <w:t xml:space="preserve">Skill course structure follows a Competency-Outcome framework: each course is anchored to one or more defined skills from the platform's master skill taxonomy — every lesson, activity, and assessment within the course is explicitly mapped to a skill and its proficiency level (Awareness → Foundation → Intermediate → Advanced → Expert).</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D3B6E"/>
                <w:sz w:val="20"/>
                <w:szCs w:val="20"/>
              </w:rPr>
              <w:t xml:space="preserve">▸  </w:t>
            </w:r>
            <w:r>
              <w:rPr>
                <w:rFonts w:ascii="Arial" w:cs="Arial" w:eastAsia="Arial" w:hAnsi="Arial"/>
                <w:color w:val="162232"/>
                <w:sz w:val="20"/>
                <w:szCs w:val="20"/>
              </w:rPr>
              <w:t xml:space="preserve">Master skill taxonomy alignment: the platform's skill taxonomy spans eight core domains — Critical Thinking &amp; Problem Solving, Communication &amp; Collaboration, Digital Literacy, Financial Literacy, Leadership &amp; Civic Responsibility, Creativity &amp; Innovation, Emotional Intelligence &amp; Wellbeing, and Vocational &amp; Technical Skills — each course is tagged to the relevant domain and sub-skill cluster.</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D3B6E"/>
                <w:sz w:val="20"/>
                <w:szCs w:val="20"/>
              </w:rPr>
              <w:t xml:space="preserve">▸  </w:t>
            </w:r>
            <w:r>
              <w:rPr>
                <w:rFonts w:ascii="Arial" w:cs="Arial" w:eastAsia="Arial" w:hAnsi="Arial"/>
                <w:color w:val="162232"/>
                <w:sz w:val="20"/>
                <w:szCs w:val="20"/>
              </w:rPr>
              <w:t xml:space="preserve">NEP 2020 and global framework cross-mapping: skill courses are mapped against NEP 2020's holistic education competencies, the World Economic Forum's Future of Jobs top skills, OECD Learning Compass 2030 student agency framework, and UNESCO's four pillars of education — giving schools an internationally benchmarked skills curriculum.</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D3B6E"/>
                <w:sz w:val="20"/>
                <w:szCs w:val="20"/>
              </w:rPr>
              <w:t xml:space="preserve">▸  </w:t>
            </w:r>
            <w:r>
              <w:rPr>
                <w:rFonts w:ascii="Arial" w:cs="Arial" w:eastAsia="Arial" w:hAnsi="Arial"/>
                <w:color w:val="162232"/>
                <w:sz w:val="20"/>
                <w:szCs w:val="20"/>
              </w:rPr>
              <w:t xml:space="preserve">Age and grade band differentiation: skill courses are designed for specific learner bands (Early Learners: Grades 1–5, Middle School: Grades 6–8, Senior School: Grades 9–12) with developmentally appropriate content, language level, activity types, and proficiency benchmarks for each band.</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D3B6E"/>
                <w:sz w:val="20"/>
                <w:szCs w:val="20"/>
              </w:rPr>
              <w:t xml:space="preserve">▸  </w:t>
            </w:r>
            <w:r>
              <w:rPr>
                <w:rFonts w:ascii="Arial" w:cs="Arial" w:eastAsia="Arial" w:hAnsi="Arial"/>
                <w:color w:val="162232"/>
                <w:sz w:val="20"/>
                <w:szCs w:val="20"/>
              </w:rPr>
              <w:t xml:space="preserve">Standalone vs. embedded course modes: skill courses can be offered as standalone elective courses with their own timetable slots, or embedded within academic subject courses as skill-development interludes — e.g., a communication skills module embedded within an English Literature course.</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D3B6E"/>
                <w:sz w:val="20"/>
                <w:szCs w:val="20"/>
              </w:rPr>
              <w:t xml:space="preserve">▸  </w:t>
            </w:r>
            <w:r>
              <w:rPr>
                <w:rFonts w:ascii="Arial" w:cs="Arial" w:eastAsia="Arial" w:hAnsi="Arial"/>
                <w:color w:val="162232"/>
                <w:sz w:val="20"/>
                <w:szCs w:val="20"/>
              </w:rPr>
              <w:t xml:space="preserve">Blended delivery configuration: each skill course is configured for the optimal delivery blend — Fully Self-Paced (asynchronous, student completes independently), Teacher-Facilitated (synchronous sessions with structured independent practice), Peer-Learning (collaborative cohort model), or Experiential (project and challenge-based with real-world application tasks).</w:t>
            </w:r>
          </w:p>
        </w:tc>
      </w:tr>
      <w:tr>
        <w:tc>
          <w:tcPr>
            <w:tcW w:type="dxa" w:w="9360"/>
            <w:tcBorders>
              <w:top w:val="single" w:color="B8CDDE" w:sz="1"/>
              <w:left w:val="single" w:color="B8CDDE" w:sz="1"/>
              <w:bottom w:val="single" w:color="B8CDDE" w:sz="1"/>
              <w:right w:val="single" w:color="B8CDDE" w:sz="1"/>
            </w:tcBorders>
            <w:shd w:fill="F2F5F9" w:val="clear"/>
            <w:tcMar>
              <w:top w:type="dxa" w:w="100"/>
              <w:left w:type="dxa" w:w="240"/>
              <w:bottom w:type="dxa" w:w="10"/>
              <w:right w:type="dxa" w:w="240"/>
            </w:tcMar>
          </w:tcPr>
          <w:p>
            <w:pPr>
              <w:spacing w:before="50" w:after="0"/>
            </w:pPr>
            <w:r>
              <w:rPr>
                <w:rFonts w:ascii="Arial" w:cs="Arial" w:eastAsia="Arial" w:hAnsi="Arial"/>
                <w:b/>
                <w:bCs/>
                <w:color w:val="1565C0"/>
                <w:sz w:val="21"/>
                <w:szCs w:val="21"/>
              </w:rPr>
              <w:t xml:space="preserve">Content Design for Skill Development</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D3B6E"/>
                <w:sz w:val="20"/>
                <w:szCs w:val="20"/>
              </w:rPr>
              <w:t xml:space="preserve">▸  </w:t>
            </w:r>
            <w:r>
              <w:rPr>
                <w:rFonts w:ascii="Arial" w:cs="Arial" w:eastAsia="Arial" w:hAnsi="Arial"/>
                <w:color w:val="162232"/>
                <w:sz w:val="20"/>
                <w:szCs w:val="20"/>
              </w:rPr>
              <w:t xml:space="preserve">Activity-first content philosophy: skill course lessons prioritise active learning over passive content consumption — each lesson is structured around a core activity (role-play, case study, simulation, debate, design challenge, group discussion, reflection journal, or real-world project) with supporting theory content as scaffolding rather than the main event.</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D3B6E"/>
                <w:sz w:val="20"/>
                <w:szCs w:val="20"/>
              </w:rPr>
              <w:t xml:space="preserve">▸  </w:t>
            </w:r>
            <w:r>
              <w:rPr>
                <w:rFonts w:ascii="Arial" w:cs="Arial" w:eastAsia="Arial" w:hAnsi="Arial"/>
                <w:color w:val="162232"/>
                <w:sz w:val="20"/>
                <w:szCs w:val="20"/>
              </w:rPr>
              <w:t xml:space="preserve">Scenario-based learning modules: skill courses leverage rich contextual scenarios (workplace situations, community challenges, historical case studies, entrepreneurial problems) that students engage with across multiple lessons — building the ability to apply skills in realistic, complex contexts rather than isolated exercises.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D3B6E"/>
                <w:sz w:val="20"/>
                <w:szCs w:val="20"/>
              </w:rPr>
              <w:t xml:space="preserve">▸  </w:t>
            </w:r>
            <w:r>
              <w:rPr>
                <w:rFonts w:ascii="Arial" w:cs="Arial" w:eastAsia="Arial" w:hAnsi="Arial"/>
                <w:color w:val="162232"/>
                <w:sz w:val="20"/>
                <w:szCs w:val="20"/>
              </w:rPr>
              <w:t xml:space="preserve">Micro-learning lesson design: individual lessons are kept to 10–20 minute completion windows — short, focused, and outcome-specific — making skill courses compatible with integration into regular school periods without requiring extended timetable blocks.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D3B6E"/>
                <w:sz w:val="20"/>
                <w:szCs w:val="20"/>
              </w:rPr>
              <w:t xml:space="preserve">▸  </w:t>
            </w:r>
            <w:r>
              <w:rPr>
                <w:rFonts w:ascii="Arial" w:cs="Arial" w:eastAsia="Arial" w:hAnsi="Arial"/>
                <w:color w:val="162232"/>
                <w:sz w:val="20"/>
                <w:szCs w:val="20"/>
              </w:rPr>
              <w:t xml:space="preserve">Multimedia content toolkit for skill facilitators: teachers are provided with facilitator guides, discussion question banks, role-play scripts, case study packs, video vignettes of skill demonstration, reflection prompts, and peer feedback forms — comprehensive facilitation resources that support teachers who may not be subject-matter experts in every skill domain.</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D3B6E"/>
                <w:sz w:val="20"/>
                <w:szCs w:val="20"/>
              </w:rPr>
              <w:t xml:space="preserve">▸  </w:t>
            </w:r>
            <w:r>
              <w:rPr>
                <w:rFonts w:ascii="Arial" w:cs="Arial" w:eastAsia="Arial" w:hAnsi="Arial"/>
                <w:color w:val="162232"/>
                <w:sz w:val="20"/>
                <w:szCs w:val="20"/>
              </w:rPr>
              <w:t xml:space="preserve">Student reflection and portfolio integration: every skill lesson includes a structured reflection prompt — students record their reflection in a personal skill journal, which accumulates over the course into a rich evidence portfolio of their skill development journey, usable for college applications and career portfolios.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D3B6E"/>
                <w:sz w:val="20"/>
                <w:szCs w:val="20"/>
              </w:rPr>
              <w:t xml:space="preserve">▸  </w:t>
            </w:r>
            <w:r>
              <w:rPr>
                <w:rFonts w:ascii="Arial" w:cs="Arial" w:eastAsia="Arial" w:hAnsi="Arial"/>
                <w:color w:val="162232"/>
                <w:sz w:val="20"/>
                <w:szCs w:val="20"/>
              </w:rPr>
              <w:t xml:space="preserve">Guest expert and industry speaker integration: skill courses can include structured sessions with verified industry practitioners, alumni, or community experts — invited virtually through the platform's integrated video conferencing module — bridging classroom skill learning with real-world application insights.</w:t>
            </w:r>
          </w:p>
        </w:tc>
      </w:tr>
      <w:tr>
        <w:tc>
          <w:tcPr>
            <w:tcW w:type="dxa" w:w="9360"/>
            <w:tcBorders>
              <w:top w:val="single" w:color="B8CDDE" w:sz="1"/>
              <w:left w:val="single" w:color="B8CDDE" w:sz="1"/>
              <w:bottom w:val="single" w:color="B8CDDE" w:sz="1"/>
              <w:right w:val="single" w:color="B8CDDE" w:sz="1"/>
            </w:tcBorders>
            <w:shd w:fill="F2F5F9" w:val="clear"/>
            <w:tcMar>
              <w:top w:type="dxa" w:w="100"/>
              <w:left w:type="dxa" w:w="240"/>
              <w:bottom w:type="dxa" w:w="10"/>
              <w:right w:type="dxa" w:w="240"/>
            </w:tcMar>
          </w:tcPr>
          <w:p>
            <w:pPr>
              <w:spacing w:before="50" w:after="0"/>
            </w:pPr>
            <w:r>
              <w:rPr>
                <w:rFonts w:ascii="Arial" w:cs="Arial" w:eastAsia="Arial" w:hAnsi="Arial"/>
                <w:b/>
                <w:bCs/>
                <w:color w:val="1565C0"/>
                <w:sz w:val="21"/>
                <w:szCs w:val="21"/>
              </w:rPr>
              <w:t xml:space="preserve">Course Customisation &amp; School Autonomy</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D3B6E"/>
                <w:sz w:val="20"/>
                <w:szCs w:val="20"/>
              </w:rPr>
              <w:t xml:space="preserve">▸  </w:t>
            </w:r>
            <w:r>
              <w:rPr>
                <w:rFonts w:ascii="Arial" w:cs="Arial" w:eastAsia="Arial" w:hAnsi="Arial"/>
                <w:color w:val="162232"/>
                <w:sz w:val="20"/>
                <w:szCs w:val="20"/>
              </w:rPr>
              <w:t xml:space="preserve">School-defined skill courses: beyond the platform's curated skill course library, schools can create entirely bespoke skill courses reflecting their unique educational philosophy, community context, or specialisation — e.g., a sustainability-focused school creating a Climate Action Skills course, or a performing arts school creating a Stage Presence and Communication course.</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D3B6E"/>
                <w:sz w:val="20"/>
                <w:szCs w:val="20"/>
              </w:rPr>
              <w:t xml:space="preserve">▸  </w:t>
            </w:r>
            <w:r>
              <w:rPr>
                <w:rFonts w:ascii="Arial" w:cs="Arial" w:eastAsia="Arial" w:hAnsi="Arial"/>
                <w:color w:val="162232"/>
                <w:sz w:val="20"/>
                <w:szCs w:val="20"/>
              </w:rPr>
              <w:t xml:space="preserve">Content remix capability: teachers can remix platform-provided skill course templates — retaining the structural framework and learning objectives while customising activities, scenarios, and examples to better reflect local cultural contexts and student realities.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D3B6E"/>
                <w:sz w:val="20"/>
                <w:szCs w:val="20"/>
              </w:rPr>
              <w:t xml:space="preserve">▸  </w:t>
            </w:r>
            <w:r>
              <w:rPr>
                <w:rFonts w:ascii="Arial" w:cs="Arial" w:eastAsia="Arial" w:hAnsi="Arial"/>
                <w:color w:val="162232"/>
                <w:sz w:val="20"/>
                <w:szCs w:val="20"/>
              </w:rPr>
              <w:t xml:space="preserve">Skill course difficulty progression: the platform supports multi-level course sequences (Level 1 → Level 2 → Level 3) for the same skill — students who complete a foundational course are automatically recommended the next level, creating a coherent multi-year skill development pathway from primary through senior school.</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D3B6E"/>
                <w:sz w:val="20"/>
                <w:szCs w:val="20"/>
              </w:rPr>
              <w:t xml:space="preserve">▸  </w:t>
            </w:r>
            <w:r>
              <w:rPr>
                <w:rFonts w:ascii="Arial" w:cs="Arial" w:eastAsia="Arial" w:hAnsi="Arial"/>
                <w:color w:val="162232"/>
                <w:sz w:val="20"/>
                <w:szCs w:val="20"/>
              </w:rPr>
              <w:t xml:space="preserve">Co-curricular and extra-curricular skill course tagging: skill courses delivered through clubs, sports teams, student councils, and community service programmes are formally tagged and tracked — ensuring that learning happening outside the formal classroom is captured in the student's skill development profile.</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D3B6E"/>
                <w:sz w:val="20"/>
                <w:szCs w:val="20"/>
              </w:rPr>
              <w:t xml:space="preserve">▸  </w:t>
            </w:r>
            <w:r>
              <w:rPr>
                <w:rFonts w:ascii="Arial" w:cs="Arial" w:eastAsia="Arial" w:hAnsi="Arial"/>
                <w:color w:val="162232"/>
                <w:sz w:val="20"/>
                <w:szCs w:val="20"/>
              </w:rPr>
              <w:t xml:space="preserve">Peer-facilitated skill courses: senior students (Classes 11–12) can be designated as peer facilitators for skill courses with junior batches — developing leadership, communication, and teaching skills in the facilitators while delivering cost-effective skill education to younger students.</w:t>
            </w:r>
          </w:p>
        </w:tc>
      </w:tr>
      <w:tr>
        <w:tc>
          <w:tcPr>
            <w:tcW w:type="dxa" w:w="9360"/>
            <w:tcBorders>
              <w:top w:val="single" w:color="B8CDDE" w:sz="1"/>
              <w:left w:val="single" w:color="B8CDDE" w:sz="1"/>
              <w:bottom w:val="single" w:color="B8CDDE" w:sz="1"/>
              <w:right w:val="single" w:color="B8CDDE" w:sz="1"/>
            </w:tcBorders>
            <w:shd w:fill="F2F5F9" w:val="clear"/>
            <w:tcMar>
              <w:top w:type="dxa" w:w="100"/>
              <w:left w:type="dxa" w:w="240"/>
              <w:bottom w:type="dxa" w:w="10"/>
              <w:right w:type="dxa" w:w="240"/>
            </w:tcMar>
          </w:tcPr>
          <w:p>
            <w:pPr>
              <w:spacing w:before="50" w:after="0"/>
            </w:pPr>
            <w:r>
              <w:rPr>
                <w:rFonts w:ascii="Arial" w:cs="Arial" w:eastAsia="Arial" w:hAnsi="Arial"/>
                <w:b/>
                <w:bCs/>
                <w:color w:val="1565C0"/>
                <w:sz w:val="21"/>
                <w:szCs w:val="21"/>
              </w:rPr>
              <w:t xml:space="preserve">Publishing, Access &amp; Quality Assurance</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D3B6E"/>
                <w:sz w:val="20"/>
                <w:szCs w:val="20"/>
              </w:rPr>
              <w:t xml:space="preserve">▸  </w:t>
            </w:r>
            <w:r>
              <w:rPr>
                <w:rFonts w:ascii="Arial" w:cs="Arial" w:eastAsia="Arial" w:hAnsi="Arial"/>
                <w:color w:val="162232"/>
                <w:sz w:val="20"/>
                <w:szCs w:val="20"/>
              </w:rPr>
              <w:t xml:space="preserve">Skill course quality rubric: before publication, every skill course is evaluated against a 20-point quality rubric — assessing learning objective clarity, activity-outcome alignment, content diversity, assessment authenticity, accessibility compliance, and facilitator support adequacy — courses scoring below 14/20 are returned for revision.</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D3B6E"/>
                <w:sz w:val="20"/>
                <w:szCs w:val="20"/>
              </w:rPr>
              <w:t xml:space="preserve">▸  </w:t>
            </w:r>
            <w:r>
              <w:rPr>
                <w:rFonts w:ascii="Arial" w:cs="Arial" w:eastAsia="Arial" w:hAnsi="Arial"/>
                <w:color w:val="162232"/>
                <w:sz w:val="20"/>
                <w:szCs w:val="20"/>
              </w:rPr>
              <w:t xml:space="preserve">Pilot cohort testing: new skill courses can be released in pilot mode to a selected cohort before school-wide rollout — pilot student feedback, completion data, and facilitator observations are used to refine the course before full publication.</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D3B6E"/>
                <w:sz w:val="20"/>
                <w:szCs w:val="20"/>
              </w:rPr>
              <w:t xml:space="preserve">▸  </w:t>
            </w:r>
            <w:r>
              <w:rPr>
                <w:rFonts w:ascii="Arial" w:cs="Arial" w:eastAsia="Arial" w:hAnsi="Arial"/>
                <w:color w:val="162232"/>
                <w:sz w:val="20"/>
                <w:szCs w:val="20"/>
              </w:rPr>
              <w:t xml:space="preserve">Platform-curated skill course marketplace: schools can browse and adopt peer-created skill courses published by other schools on the platform (with creator school's permission) — or access Anthropic-partnered content from leading skill development organisations — expanding the available skill curriculum without requiring entirely in-house creation.</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D3B6E"/>
                <w:sz w:val="20"/>
                <w:szCs w:val="20"/>
              </w:rPr>
              <w:t xml:space="preserve">▸  </w:t>
            </w:r>
            <w:r>
              <w:rPr>
                <w:rFonts w:ascii="Arial" w:cs="Arial" w:eastAsia="Arial" w:hAnsi="Arial"/>
                <w:color w:val="162232"/>
                <w:sz w:val="20"/>
                <w:szCs w:val="20"/>
              </w:rPr>
              <w:t xml:space="preserve">Versioning and annual refresh cycle: skill courses are flagged for annual content review — the platform tracks which courses have not been updated in over 12 months and prompts course owners to validate relevance, update statistics and examples, and refresh activities to reflect evolving industry and societal contexts.</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DDE" w:sz="1"/>
              <w:left w:val="single" w:color="B8CDDE" w:sz="1"/>
              <w:bottom w:val="single" w:color="B8CDDE" w:sz="1"/>
              <w:right w:val="single" w:color="B8CDDE" w:sz="1"/>
            </w:tcBorders>
            <w:shd w:fill="0A5740" w:val="clear"/>
            <w:tcMar>
              <w:top w:type="dxa" w:w="155"/>
              <w:left w:type="dxa" w:w="240"/>
              <w:bottom w:type="dxa" w:w="155"/>
              <w:right w:type="dxa" w:w="240"/>
            </w:tcMar>
          </w:tcPr>
          <w:p>
            <w:r>
              <w:rPr>
                <w:rFonts w:ascii="Arial" w:cs="Arial" w:eastAsia="Arial" w:hAnsi="Arial"/>
                <w:b/>
                <w:bCs/>
                <w:color w:val="FFFFFF"/>
                <w:sz w:val="24"/>
                <w:szCs w:val="24"/>
              </w:rPr>
              <w:t xml:space="preserve">2.  </w:t>
            </w:r>
            <w:r>
              <w:rPr>
                <w:rFonts w:ascii="Arial" w:cs="Arial" w:eastAsia="Arial" w:hAnsi="Arial"/>
                <w:b/>
                <w:bCs/>
                <w:color w:val="FFFFFF"/>
                <w:sz w:val="32"/>
                <w:szCs w:val="32"/>
              </w:rPr>
              <w:t xml:space="preserve">Skill Assessment Creation</w:t>
            </w:r>
          </w:p>
        </w:tc>
      </w:tr>
      <w:tr>
        <w:tc>
          <w:tcPr>
            <w:tcW w:type="dxa" w:w="9360"/>
            <w:tcBorders>
              <w:top w:val="single" w:color="B8CDDE" w:sz="1"/>
              <w:left w:val="single" w:color="B8CDDE" w:sz="1"/>
              <w:bottom w:val="single" w:color="B8CDDE" w:sz="1"/>
              <w:right w:val="single" w:color="B8CDDE" w:sz="1"/>
            </w:tcBorders>
            <w:shd w:fill="D2EDE5" w:val="clear"/>
            <w:tcMar>
              <w:top w:type="dxa" w:w="115"/>
              <w:left w:type="dxa" w:w="240"/>
              <w:bottom w:type="dxa" w:w="115"/>
              <w:right w:type="dxa" w:w="240"/>
            </w:tcMar>
          </w:tcPr>
          <w:p>
            <w:r>
              <w:rPr>
                <w:rFonts w:ascii="Arial" w:cs="Arial" w:eastAsia="Arial" w:hAnsi="Arial"/>
                <w:b/>
                <w:bCs/>
                <w:color w:val="0A5740"/>
                <w:sz w:val="21"/>
                <w:szCs w:val="21"/>
              </w:rPr>
              <w:t xml:space="preserve">Overview  </w:t>
            </w:r>
            <w:r>
              <w:rPr>
                <w:rFonts w:ascii="Arial" w:cs="Arial" w:eastAsia="Arial" w:hAnsi="Arial"/>
                <w:i/>
                <w:iCs/>
                <w:color w:val="162232"/>
                <w:sz w:val="21"/>
                <w:szCs w:val="21"/>
              </w:rPr>
              <w:t xml:space="preserve">A specialised assessment authoring system designed for evaluating competency-based skills — moving beyond traditional knowledge testing to capture observable behaviours, applied performance, reflective capacity, and peer-validated demonstrations of skill proficiency through diverse, authentic assessment formats.</w:t>
            </w:r>
          </w:p>
        </w:tc>
      </w:tr>
      <w:tr>
        <w:tc>
          <w:tcPr>
            <w:tcW w:type="dxa" w:w="9360"/>
            <w:tcBorders>
              <w:top w:val="single" w:color="B8CDDE" w:sz="1"/>
              <w:left w:val="single" w:color="B8CDDE" w:sz="1"/>
              <w:bottom w:val="single" w:color="B8CDDE" w:sz="1"/>
              <w:right w:val="single" w:color="B8CDDE" w:sz="1"/>
            </w:tcBorders>
            <w:shd w:fill="F2F5F9" w:val="clear"/>
            <w:tcMar>
              <w:top w:type="dxa" w:w="100"/>
              <w:left w:type="dxa" w:w="240"/>
              <w:bottom w:type="dxa" w:w="10"/>
              <w:right w:type="dxa" w:w="240"/>
            </w:tcMar>
          </w:tcPr>
          <w:p>
            <w:pPr>
              <w:spacing w:before="50" w:after="0"/>
            </w:pPr>
            <w:r>
              <w:rPr>
                <w:rFonts w:ascii="Arial" w:cs="Arial" w:eastAsia="Arial" w:hAnsi="Arial"/>
                <w:b/>
                <w:bCs/>
                <w:color w:val="0E7A58"/>
                <w:sz w:val="21"/>
                <w:szCs w:val="21"/>
              </w:rPr>
              <w:t xml:space="preserve">Assessment Philosophy &amp; Design Principles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5740"/>
                <w:sz w:val="20"/>
                <w:szCs w:val="20"/>
              </w:rPr>
              <w:t xml:space="preserve">▸  </w:t>
            </w:r>
            <w:r>
              <w:rPr>
                <w:rFonts w:ascii="Arial" w:cs="Arial" w:eastAsia="Arial" w:hAnsi="Arial"/>
                <w:color w:val="162232"/>
                <w:sz w:val="20"/>
                <w:szCs w:val="20"/>
              </w:rPr>
              <w:t xml:space="preserve">Performance-based assessment model: skill assessments are designed around observable demonstrations of competency rather than recall of knowledge — students are evaluated on what they can do with a skill, not merely what they know about it — aligned with authentic assessment theory and competency-based education frameworks.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5740"/>
                <w:sz w:val="20"/>
                <w:szCs w:val="20"/>
              </w:rPr>
              <w:t xml:space="preserve">▸  </w:t>
            </w:r>
            <w:r>
              <w:rPr>
                <w:rFonts w:ascii="Arial" w:cs="Arial" w:eastAsia="Arial" w:hAnsi="Arial"/>
                <w:color w:val="162232"/>
                <w:sz w:val="20"/>
                <w:szCs w:val="20"/>
              </w:rPr>
              <w:t xml:space="preserve">Multi-evidence assessment approach: proficiency in any skill is determined through triangulated evidence from at least three distinct sources — self-assessment, peer assessment, facilitator observation, and artefact/product assessment — reducing the subjectivity inherent in any single assessment method.</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5740"/>
                <w:sz w:val="20"/>
                <w:szCs w:val="20"/>
              </w:rPr>
              <w:t xml:space="preserve">▸  </w:t>
            </w:r>
            <w:r>
              <w:rPr>
                <w:rFonts w:ascii="Arial" w:cs="Arial" w:eastAsia="Arial" w:hAnsi="Arial"/>
                <w:color w:val="162232"/>
                <w:sz w:val="20"/>
                <w:szCs w:val="20"/>
              </w:rPr>
              <w:t xml:space="preserve">Holistic competency rubric design: every skill assessment uses a behaviourally anchored rating scale (BARS) rubric — describing specific, observable behaviours at each proficiency level for each skill criterion, making evaluator judgements more consistent, transparent, and defensible.</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5740"/>
                <w:sz w:val="20"/>
                <w:szCs w:val="20"/>
              </w:rPr>
              <w:t xml:space="preserve">▸  </w:t>
            </w:r>
            <w:r>
              <w:rPr>
                <w:rFonts w:ascii="Arial" w:cs="Arial" w:eastAsia="Arial" w:hAnsi="Arial"/>
                <w:color w:val="162232"/>
                <w:sz w:val="20"/>
                <w:szCs w:val="20"/>
              </w:rPr>
              <w:t xml:space="preserve">Formative vs. summative skill assessments: formative skill check-ins are brief (5–10 minute reflections or peer observations) and frequent — designed to surface learning in progress; summative skill assessments are comprehensive demonstrations scheduled at course completion — producing the official proficiency rating that updates the student's skill profile.</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5740"/>
                <w:sz w:val="20"/>
                <w:szCs w:val="20"/>
              </w:rPr>
              <w:t xml:space="preserve">▸  </w:t>
            </w:r>
            <w:r>
              <w:rPr>
                <w:rFonts w:ascii="Arial" w:cs="Arial" w:eastAsia="Arial" w:hAnsi="Arial"/>
                <w:color w:val="162232"/>
                <w:sz w:val="20"/>
                <w:szCs w:val="20"/>
              </w:rPr>
              <w:t xml:space="preserve">Developmental framing: skill assessment results are always framed developmentally — proficiency levels are labelled descriptively (Emerging, Developing, Applying, Extending, Exemplifying) rather than as pass/fail — reinforcing a growth mindset and reducing the anxiety associated with traditional graded testing.</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5740"/>
                <w:sz w:val="20"/>
                <w:szCs w:val="20"/>
              </w:rPr>
              <w:t xml:space="preserve">▸  </w:t>
            </w:r>
            <w:r>
              <w:rPr>
                <w:rFonts w:ascii="Arial" w:cs="Arial" w:eastAsia="Arial" w:hAnsi="Arial"/>
                <w:color w:val="162232"/>
                <w:sz w:val="20"/>
                <w:szCs w:val="20"/>
              </w:rPr>
              <w:t xml:space="preserve">Assessment validity and reliability protocols: the platform provides inter-rater reliability calibration tools for facilitators — calibration exercises where multiple raters assess the same student demonstration and compare results, establishing shared understanding of performance standards before live assessment.</w:t>
            </w:r>
          </w:p>
        </w:tc>
      </w:tr>
      <w:tr>
        <w:tc>
          <w:tcPr>
            <w:tcW w:type="dxa" w:w="9360"/>
            <w:tcBorders>
              <w:top w:val="single" w:color="B8CDDE" w:sz="1"/>
              <w:left w:val="single" w:color="B8CDDE" w:sz="1"/>
              <w:bottom w:val="single" w:color="B8CDDE" w:sz="1"/>
              <w:right w:val="single" w:color="B8CDDE" w:sz="1"/>
            </w:tcBorders>
            <w:shd w:fill="F2F5F9" w:val="clear"/>
            <w:tcMar>
              <w:top w:type="dxa" w:w="100"/>
              <w:left w:type="dxa" w:w="240"/>
              <w:bottom w:type="dxa" w:w="10"/>
              <w:right w:type="dxa" w:w="240"/>
            </w:tcMar>
          </w:tcPr>
          <w:p>
            <w:pPr>
              <w:spacing w:before="50" w:after="0"/>
            </w:pPr>
            <w:r>
              <w:rPr>
                <w:rFonts w:ascii="Arial" w:cs="Arial" w:eastAsia="Arial" w:hAnsi="Arial"/>
                <w:b/>
                <w:bCs/>
                <w:color w:val="0E7A58"/>
                <w:sz w:val="21"/>
                <w:szCs w:val="21"/>
              </w:rPr>
              <w:t xml:space="preserve">Skill Assessment Types &amp; Formats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5740"/>
                <w:sz w:val="20"/>
                <w:szCs w:val="20"/>
              </w:rPr>
              <w:t xml:space="preserve">▸  </w:t>
            </w:r>
            <w:r>
              <w:rPr>
                <w:rFonts w:ascii="Arial" w:cs="Arial" w:eastAsia="Arial" w:hAnsi="Arial"/>
                <w:color w:val="162232"/>
                <w:sz w:val="20"/>
                <w:szCs w:val="20"/>
              </w:rPr>
              <w:t xml:space="preserve">Performance task assessments: students complete a defined real-world task (e.g., lead a 10-minute team meeting, deliver a 3-minute persuasive pitch, debug a given piece of code, mediate a simulated conflict) — facilitators observe and rate performance against the skill rubric in real time using the platform's mobile assessment app.</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5740"/>
                <w:sz w:val="20"/>
                <w:szCs w:val="20"/>
              </w:rPr>
              <w:t xml:space="preserve">▸  </w:t>
            </w:r>
            <w:r>
              <w:rPr>
                <w:rFonts w:ascii="Arial" w:cs="Arial" w:eastAsia="Arial" w:hAnsi="Arial"/>
                <w:color w:val="162232"/>
                <w:sz w:val="20"/>
                <w:szCs w:val="20"/>
              </w:rPr>
              <w:t xml:space="preserve">Portfolio assessments: students curate a selection of their best work artefacts from across the course — with reflective commentary explaining how each artefact demonstrates their skill growth — evaluated by the facilitator against a portfolio quality rubric that assesses both artefact quality and depth of reflection.</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5740"/>
                <w:sz w:val="20"/>
                <w:szCs w:val="20"/>
              </w:rPr>
              <w:t xml:space="preserve">▸  </w:t>
            </w:r>
            <w:r>
              <w:rPr>
                <w:rFonts w:ascii="Arial" w:cs="Arial" w:eastAsia="Arial" w:hAnsi="Arial"/>
                <w:color w:val="162232"/>
                <w:sz w:val="20"/>
                <w:szCs w:val="20"/>
              </w:rPr>
              <w:t xml:space="preserve">Structured peer assessment: following a defined peer assessment protocol, students evaluate each other's skill demonstration using the same behaviourally anchored rubric as the facilitator — the platform aggregates multiple peer ratings, applies outlier detection (flagging peer ratings that diverge significantly from the group mean), and incorporates the calibrated peer score into the final proficiency rating.</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5740"/>
                <w:sz w:val="20"/>
                <w:szCs w:val="20"/>
              </w:rPr>
              <w:t xml:space="preserve">▸  </w:t>
            </w:r>
            <w:r>
              <w:rPr>
                <w:rFonts w:ascii="Arial" w:cs="Arial" w:eastAsia="Arial" w:hAnsi="Arial"/>
                <w:color w:val="162232"/>
                <w:sz w:val="20"/>
                <w:szCs w:val="20"/>
              </w:rPr>
              <w:t xml:space="preserve">Self-assessment with reflection: students complete a structured self-assessment questionnaire rating their own proficiency against each skill criterion, supported by specific evidence examples from their experience — compared against facilitator and peer assessments to identify self-perception gaps that are themselves valuable learning data.</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5740"/>
                <w:sz w:val="20"/>
                <w:szCs w:val="20"/>
              </w:rPr>
              <w:t xml:space="preserve">▸  </w:t>
            </w:r>
            <w:r>
              <w:rPr>
                <w:rFonts w:ascii="Arial" w:cs="Arial" w:eastAsia="Arial" w:hAnsi="Arial"/>
                <w:color w:val="162232"/>
                <w:sz w:val="20"/>
                <w:szCs w:val="20"/>
              </w:rPr>
              <w:t xml:space="preserve">Situational Judgement Tests (SJTs): scenario-based assessments presenting students with realistic dilemmas in which they select or justify their response — measuring applied skill judgement in context rather than abstract knowledge, particularly effective for assessing ethical reasoning, leadership decision-making, and interpersonal skill.</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5740"/>
                <w:sz w:val="20"/>
                <w:szCs w:val="20"/>
              </w:rPr>
              <w:t xml:space="preserve">▸  </w:t>
            </w:r>
            <w:r>
              <w:rPr>
                <w:rFonts w:ascii="Arial" w:cs="Arial" w:eastAsia="Arial" w:hAnsi="Arial"/>
                <w:color w:val="162232"/>
                <w:sz w:val="20"/>
                <w:szCs w:val="20"/>
              </w:rPr>
              <w:t xml:space="preserve">Digital skill demonstrations: for technical and digital literacy skills, students complete applied tasks within the platform's integrated digital environments — coding challenges evaluated against test cases, data analysis tasks completed in spreadsheet tools, digital design briefs evaluated against design criteria — with automated scoring for objective criteria and facilitator review for subjective elements.</w:t>
            </w:r>
          </w:p>
        </w:tc>
      </w:tr>
      <w:tr>
        <w:tc>
          <w:tcPr>
            <w:tcW w:type="dxa" w:w="9360"/>
            <w:tcBorders>
              <w:top w:val="single" w:color="B8CDDE" w:sz="1"/>
              <w:left w:val="single" w:color="B8CDDE" w:sz="1"/>
              <w:bottom w:val="single" w:color="B8CDDE" w:sz="1"/>
              <w:right w:val="single" w:color="B8CDDE" w:sz="1"/>
            </w:tcBorders>
            <w:shd w:fill="F2F5F9" w:val="clear"/>
            <w:tcMar>
              <w:top w:type="dxa" w:w="100"/>
              <w:left w:type="dxa" w:w="240"/>
              <w:bottom w:type="dxa" w:w="10"/>
              <w:right w:type="dxa" w:w="240"/>
            </w:tcMar>
          </w:tcPr>
          <w:p>
            <w:pPr>
              <w:spacing w:before="50" w:after="0"/>
            </w:pPr>
            <w:r>
              <w:rPr>
                <w:rFonts w:ascii="Arial" w:cs="Arial" w:eastAsia="Arial" w:hAnsi="Arial"/>
                <w:b/>
                <w:bCs/>
                <w:color w:val="0E7A58"/>
                <w:sz w:val="21"/>
                <w:szCs w:val="21"/>
              </w:rPr>
              <w:t xml:space="preserve">Assessment Configuration &amp; Workflow</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5740"/>
                <w:sz w:val="20"/>
                <w:szCs w:val="20"/>
              </w:rPr>
              <w:t xml:space="preserve">▸  </w:t>
            </w:r>
            <w:r>
              <w:rPr>
                <w:rFonts w:ascii="Arial" w:cs="Arial" w:eastAsia="Arial" w:hAnsi="Arial"/>
                <w:color w:val="162232"/>
                <w:sz w:val="20"/>
                <w:szCs w:val="20"/>
              </w:rPr>
              <w:t xml:space="preserve">Assessment occasion scheduling: skill assessments are scheduled within the course timeline — the platform sends preparation briefings to students 5 days before, day-before reminders, and facilitator readiness checklists 24 hours before performance assessments.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5740"/>
                <w:sz w:val="20"/>
                <w:szCs w:val="20"/>
              </w:rPr>
              <w:t xml:space="preserve">▸  </w:t>
            </w:r>
            <w:r>
              <w:rPr>
                <w:rFonts w:ascii="Arial" w:cs="Arial" w:eastAsia="Arial" w:hAnsi="Arial"/>
                <w:color w:val="162232"/>
                <w:sz w:val="20"/>
                <w:szCs w:val="20"/>
              </w:rPr>
              <w:t xml:space="preserve">Observation rubric digital marking: facilitators use the platform's mobile-optimised rubric marking interface during live performance assessments — tapping to select behaviour descriptors per criterion, adding timestamped observation notes, and flagging specific moments for post-assessment discussion — all recorded and synced to the student's assessment record in real time.</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5740"/>
                <w:sz w:val="20"/>
                <w:szCs w:val="20"/>
              </w:rPr>
              <w:t xml:space="preserve">▸  </w:t>
            </w:r>
            <w:r>
              <w:rPr>
                <w:rFonts w:ascii="Arial" w:cs="Arial" w:eastAsia="Arial" w:hAnsi="Arial"/>
                <w:color w:val="162232"/>
                <w:sz w:val="20"/>
                <w:szCs w:val="20"/>
              </w:rPr>
              <w:t xml:space="preserve">Video evidence capture and annotation: for performance assessments, facilitators or designated student recorders can capture short video evidence clips using the platform's integrated video recorder — clips are attached to the assessment record, annotated with rubric references, and stored securely for moderation and student feedback purposes.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5740"/>
                <w:sz w:val="20"/>
                <w:szCs w:val="20"/>
              </w:rPr>
              <w:t xml:space="preserve">▸  </w:t>
            </w:r>
            <w:r>
              <w:rPr>
                <w:rFonts w:ascii="Arial" w:cs="Arial" w:eastAsia="Arial" w:hAnsi="Arial"/>
                <w:color w:val="162232"/>
                <w:sz w:val="20"/>
                <w:szCs w:val="20"/>
              </w:rPr>
              <w:t xml:space="preserve">Moderation workflow: all summative skill assessment results go through a moderation process — a second facilitator (the department head or a designated skill coordinator) reviews a sample of assessments and ratings, confirming consistency of standards before results are finalised and published to students.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5740"/>
                <w:sz w:val="20"/>
                <w:szCs w:val="20"/>
              </w:rPr>
              <w:t xml:space="preserve">▸  </w:t>
            </w:r>
            <w:r>
              <w:rPr>
                <w:rFonts w:ascii="Arial" w:cs="Arial" w:eastAsia="Arial" w:hAnsi="Arial"/>
                <w:color w:val="162232"/>
                <w:sz w:val="20"/>
                <w:szCs w:val="20"/>
              </w:rPr>
              <w:t xml:space="preserve">Reassessment and improvement pathways: students who do not achieve the target proficiency level in a summative assessment receive a structured improvement plan — specific feedback on each under-performing criterion, recommended activities from the course, and a scheduled reassessment opportunity within a defined timeframe.</w:t>
            </w:r>
          </w:p>
        </w:tc>
      </w:tr>
      <w:tr>
        <w:tc>
          <w:tcPr>
            <w:tcW w:type="dxa" w:w="9360"/>
            <w:tcBorders>
              <w:top w:val="single" w:color="B8CDDE" w:sz="1"/>
              <w:left w:val="single" w:color="B8CDDE" w:sz="1"/>
              <w:bottom w:val="single" w:color="B8CDDE" w:sz="1"/>
              <w:right w:val="single" w:color="B8CDDE" w:sz="1"/>
            </w:tcBorders>
            <w:shd w:fill="F2F5F9" w:val="clear"/>
            <w:tcMar>
              <w:top w:type="dxa" w:w="100"/>
              <w:left w:type="dxa" w:w="240"/>
              <w:bottom w:type="dxa" w:w="10"/>
              <w:right w:type="dxa" w:w="240"/>
            </w:tcMar>
          </w:tcPr>
          <w:p>
            <w:pPr>
              <w:spacing w:before="50" w:after="0"/>
            </w:pPr>
            <w:r>
              <w:rPr>
                <w:rFonts w:ascii="Arial" w:cs="Arial" w:eastAsia="Arial" w:hAnsi="Arial"/>
                <w:b/>
                <w:bCs/>
                <w:color w:val="0E7A58"/>
                <w:sz w:val="21"/>
                <w:szCs w:val="21"/>
              </w:rPr>
              <w:t xml:space="preserve">Analytics &amp; Calibration Tools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5740"/>
                <w:sz w:val="20"/>
                <w:szCs w:val="20"/>
              </w:rPr>
              <w:t xml:space="preserve">▸  </w:t>
            </w:r>
            <w:r>
              <w:rPr>
                <w:rFonts w:ascii="Arial" w:cs="Arial" w:eastAsia="Arial" w:hAnsi="Arial"/>
                <w:color w:val="162232"/>
                <w:sz w:val="20"/>
                <w:szCs w:val="20"/>
              </w:rPr>
              <w:t xml:space="preserve">Inter-rater reliability reporting: after each moderation cycle, the platform calculates agreement statistics between primary assessors and moderators — schools with consistently low inter-rater reliability across skill assessments are prompted to run additional facilitator calibration sessions.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5740"/>
                <w:sz w:val="20"/>
                <w:szCs w:val="20"/>
              </w:rPr>
              <w:t xml:space="preserve">▸  </w:t>
            </w:r>
            <w:r>
              <w:rPr>
                <w:rFonts w:ascii="Arial" w:cs="Arial" w:eastAsia="Arial" w:hAnsi="Arial"/>
                <w:color w:val="162232"/>
                <w:sz w:val="20"/>
                <w:szCs w:val="20"/>
              </w:rPr>
              <w:t xml:space="preserve">Assessment authenticity audit: the platform monitors for patterns that may indicate inauthentic peer assessments — e.g., students who give all peers identical scores, or scores that do not vary across different skill criteria — triggering a facilitator review flag for those peer assessors.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5740"/>
                <w:sz w:val="20"/>
                <w:szCs w:val="20"/>
              </w:rPr>
              <w:t xml:space="preserve">▸  </w:t>
            </w:r>
            <w:r>
              <w:rPr>
                <w:rFonts w:ascii="Arial" w:cs="Arial" w:eastAsia="Arial" w:hAnsi="Arial"/>
                <w:color w:val="162232"/>
                <w:sz w:val="20"/>
                <w:szCs w:val="20"/>
              </w:rPr>
              <w:t xml:space="preserve">Skill assessment impact analysis: correlates students' skill assessment proficiency gains with their engagement in specific course activities — identifying which activities most reliably produce measurable skill improvement, informing future course design decisions.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5740"/>
                <w:sz w:val="20"/>
                <w:szCs w:val="20"/>
              </w:rPr>
              <w:t xml:space="preserve">▸  </w:t>
            </w:r>
            <w:r>
              <w:rPr>
                <w:rFonts w:ascii="Arial" w:cs="Arial" w:eastAsia="Arial" w:hAnsi="Arial"/>
                <w:color w:val="162232"/>
                <w:sz w:val="20"/>
                <w:szCs w:val="20"/>
              </w:rPr>
              <w:t xml:space="preserve">Class-level proficiency distribution: after summative assessments, facilitators receive a class-level proficiency distribution report per skill criterion — showing which criteria the class as a whole has mastered and which require additional instructional focus in the next course iteration.</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DDE" w:sz="1"/>
              <w:left w:val="single" w:color="B8CDDE" w:sz="1"/>
              <w:bottom w:val="single" w:color="B8CDDE" w:sz="1"/>
              <w:right w:val="single" w:color="B8CDDE" w:sz="1"/>
            </w:tcBorders>
            <w:shd w:fill="6B0F4A" w:val="clear"/>
            <w:tcMar>
              <w:top w:type="dxa" w:w="155"/>
              <w:left w:type="dxa" w:w="240"/>
              <w:bottom w:type="dxa" w:w="155"/>
              <w:right w:type="dxa" w:w="240"/>
            </w:tcMar>
          </w:tcPr>
          <w:p>
            <w:r>
              <w:rPr>
                <w:rFonts w:ascii="Arial" w:cs="Arial" w:eastAsia="Arial" w:hAnsi="Arial"/>
                <w:b/>
                <w:bCs/>
                <w:color w:val="FFFFFF"/>
                <w:sz w:val="24"/>
                <w:szCs w:val="24"/>
              </w:rPr>
              <w:t xml:space="preserve">3.  </w:t>
            </w:r>
            <w:r>
              <w:rPr>
                <w:rFonts w:ascii="Arial" w:cs="Arial" w:eastAsia="Arial" w:hAnsi="Arial"/>
                <w:b/>
                <w:bCs/>
                <w:color w:val="FFFFFF"/>
                <w:sz w:val="32"/>
                <w:szCs w:val="32"/>
              </w:rPr>
              <w:t xml:space="preserve">Skill Gap Analysis</w:t>
            </w:r>
          </w:p>
        </w:tc>
      </w:tr>
      <w:tr>
        <w:tc>
          <w:tcPr>
            <w:tcW w:type="dxa" w:w="9360"/>
            <w:tcBorders>
              <w:top w:val="single" w:color="B8CDDE" w:sz="1"/>
              <w:left w:val="single" w:color="B8CDDE" w:sz="1"/>
              <w:bottom w:val="single" w:color="B8CDDE" w:sz="1"/>
              <w:right w:val="single" w:color="B8CDDE" w:sz="1"/>
            </w:tcBorders>
            <w:shd w:fill="F7D6EC" w:val="clear"/>
            <w:tcMar>
              <w:top w:type="dxa" w:w="115"/>
              <w:left w:type="dxa" w:w="240"/>
              <w:bottom w:type="dxa" w:w="115"/>
              <w:right w:type="dxa" w:w="240"/>
            </w:tcMar>
          </w:tcPr>
          <w:p>
            <w:r>
              <w:rPr>
                <w:rFonts w:ascii="Arial" w:cs="Arial" w:eastAsia="Arial" w:hAnsi="Arial"/>
                <w:b/>
                <w:bCs/>
                <w:color w:val="6B0F4A"/>
                <w:sz w:val="21"/>
                <w:szCs w:val="21"/>
              </w:rPr>
              <w:t xml:space="preserve">Overview  </w:t>
            </w:r>
            <w:r>
              <w:rPr>
                <w:rFonts w:ascii="Arial" w:cs="Arial" w:eastAsia="Arial" w:hAnsi="Arial"/>
                <w:i/>
                <w:iCs/>
                <w:color w:val="162232"/>
                <w:sz w:val="21"/>
                <w:szCs w:val="21"/>
              </w:rPr>
              <w:t xml:space="preserve">A sophisticated diagnostic intelligence engine that identifies the distance between a student's current demonstrated skill proficiency and the target proficiency required for their academic level, chosen career pathway, or industry benchmark — transforming this gap data into personalised, actionable development roadmaps.</w:t>
            </w:r>
          </w:p>
        </w:tc>
      </w:tr>
      <w:tr>
        <w:tc>
          <w:tcPr>
            <w:tcW w:type="dxa" w:w="9360"/>
            <w:tcBorders>
              <w:top w:val="single" w:color="B8CDDE" w:sz="1"/>
              <w:left w:val="single" w:color="B8CDDE" w:sz="1"/>
              <w:bottom w:val="single" w:color="B8CDDE" w:sz="1"/>
              <w:right w:val="single" w:color="B8CDDE" w:sz="1"/>
            </w:tcBorders>
            <w:shd w:fill="F2F5F9" w:val="clear"/>
            <w:tcMar>
              <w:top w:type="dxa" w:w="100"/>
              <w:left w:type="dxa" w:w="240"/>
              <w:bottom w:type="dxa" w:w="10"/>
              <w:right w:type="dxa" w:w="240"/>
            </w:tcMar>
          </w:tcPr>
          <w:p>
            <w:pPr>
              <w:spacing w:before="50" w:after="0"/>
            </w:pPr>
            <w:r>
              <w:rPr>
                <w:rFonts w:ascii="Arial" w:cs="Arial" w:eastAsia="Arial" w:hAnsi="Arial"/>
                <w:b/>
                <w:bCs/>
                <w:color w:val="9C1470"/>
                <w:sz w:val="21"/>
                <w:szCs w:val="21"/>
              </w:rPr>
              <w:t xml:space="preserve">Gap Identification Methodology</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6B0F4A"/>
                <w:sz w:val="20"/>
                <w:szCs w:val="20"/>
              </w:rPr>
              <w:t xml:space="preserve">▸  </w:t>
            </w:r>
            <w:r>
              <w:rPr>
                <w:rFonts w:ascii="Arial" w:cs="Arial" w:eastAsia="Arial" w:hAnsi="Arial"/>
                <w:color w:val="162232"/>
                <w:sz w:val="20"/>
                <w:szCs w:val="20"/>
              </w:rPr>
              <w:t xml:space="preserve">Multi-source proficiency baseline: each student's current skill profile is constructed from three data streams — formal skill assessment results (objective, rubric-scored evaluations), teacher and facilitator observational ratings (structured periodic skill observations), and platform activity evidence (behavioural indicators derived from LMS engagement, collaboration patterns, quiz performance profiles, and Dojo challenge outcomes).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6B0F4A"/>
                <w:sz w:val="20"/>
                <w:szCs w:val="20"/>
              </w:rPr>
              <w:t xml:space="preserve">▸  </w:t>
            </w:r>
            <w:r>
              <w:rPr>
                <w:rFonts w:ascii="Arial" w:cs="Arial" w:eastAsia="Arial" w:hAnsi="Arial"/>
                <w:color w:val="162232"/>
                <w:sz w:val="20"/>
                <w:szCs w:val="20"/>
              </w:rPr>
              <w:t xml:space="preserve">Target proficiency benchmarking: gap analysis is conducted against three configurable benchmark sets simultaneously — Grade-Level Standard (the expected proficiency for the student's current grade per the school's skill framework), Career Pathway Target (the skill profile of the student's declared career interest area, sourced from industry data), and Board/Regulatory Minimum (where boards like CBSE have defined minimum skill expectations, e.g., Life Skills components).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6B0F4A"/>
                <w:sz w:val="20"/>
                <w:szCs w:val="20"/>
              </w:rPr>
              <w:t xml:space="preserve">▸  </w:t>
            </w:r>
            <w:r>
              <w:rPr>
                <w:rFonts w:ascii="Arial" w:cs="Arial" w:eastAsia="Arial" w:hAnsi="Arial"/>
                <w:color w:val="162232"/>
                <w:sz w:val="20"/>
                <w:szCs w:val="20"/>
              </w:rPr>
              <w:t xml:space="preserve">Skill domain decomposition: gaps are not reported at the broad domain level alone — each skill is decomposed into its constituent micro-competencies (e.g., 'Critical Thinking' is decomposed into Observation, Analysis, Inference, Evaluation, and Explanation) — gaps are identified at the micro-competency level for maximum diagnostic precision.</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6B0F4A"/>
                <w:sz w:val="20"/>
                <w:szCs w:val="20"/>
              </w:rPr>
              <w:t xml:space="preserve">▸  </w:t>
            </w:r>
            <w:r>
              <w:rPr>
                <w:rFonts w:ascii="Arial" w:cs="Arial" w:eastAsia="Arial" w:hAnsi="Arial"/>
                <w:color w:val="162232"/>
                <w:sz w:val="20"/>
                <w:szCs w:val="20"/>
              </w:rPr>
              <w:t xml:space="preserve">Dynamic gap recalculation: the gap analysis is not a one-time snapshot — it recalculates automatically every time new skill evidence is added (assessment result, facilitator observation, course completion event) — providing a continuously current view of the student's developmental status.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6B0F4A"/>
                <w:sz w:val="20"/>
                <w:szCs w:val="20"/>
              </w:rPr>
              <w:t xml:space="preserve">▸  </w:t>
            </w:r>
            <w:r>
              <w:rPr>
                <w:rFonts w:ascii="Arial" w:cs="Arial" w:eastAsia="Arial" w:hAnsi="Arial"/>
                <w:color w:val="162232"/>
                <w:sz w:val="20"/>
                <w:szCs w:val="20"/>
              </w:rPr>
              <w:t xml:space="preserve">Comparative gap contextualisation: individual gap data is contextualised against anonymised class, grade, and platform-wide peer distributions — distinguishing between idiosyncratic individual gaps (requiring personalised support) and systemic gaps shared by most students in a cohort (requiring curriculum-level intervention).</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6B0F4A"/>
                <w:sz w:val="20"/>
                <w:szCs w:val="20"/>
              </w:rPr>
              <w:t xml:space="preserve">▸  </w:t>
            </w:r>
            <w:r>
              <w:rPr>
                <w:rFonts w:ascii="Arial" w:cs="Arial" w:eastAsia="Arial" w:hAnsi="Arial"/>
                <w:color w:val="162232"/>
                <w:sz w:val="20"/>
                <w:szCs w:val="20"/>
              </w:rPr>
              <w:t xml:space="preserve">Confidence band on gap estimates: gap magnitudes are displayed with a confidence indicator based on the quantity and recency of evidence — gaps estimated from limited or stale evidence are shown with wider confidence bands, prompting facilitators to gather additional evidence before making high-stakes decisions based on the gap analysis.</w:t>
            </w:r>
          </w:p>
        </w:tc>
      </w:tr>
      <w:tr>
        <w:tc>
          <w:tcPr>
            <w:tcW w:type="dxa" w:w="9360"/>
            <w:tcBorders>
              <w:top w:val="single" w:color="B8CDDE" w:sz="1"/>
              <w:left w:val="single" w:color="B8CDDE" w:sz="1"/>
              <w:bottom w:val="single" w:color="B8CDDE" w:sz="1"/>
              <w:right w:val="single" w:color="B8CDDE" w:sz="1"/>
            </w:tcBorders>
            <w:shd w:fill="F2F5F9" w:val="clear"/>
            <w:tcMar>
              <w:top w:type="dxa" w:w="100"/>
              <w:left w:type="dxa" w:w="240"/>
              <w:bottom w:type="dxa" w:w="10"/>
              <w:right w:type="dxa" w:w="240"/>
            </w:tcMar>
          </w:tcPr>
          <w:p>
            <w:pPr>
              <w:spacing w:before="50" w:after="0"/>
            </w:pPr>
            <w:r>
              <w:rPr>
                <w:rFonts w:ascii="Arial" w:cs="Arial" w:eastAsia="Arial" w:hAnsi="Arial"/>
                <w:b/>
                <w:bCs/>
                <w:color w:val="9C1470"/>
                <w:sz w:val="21"/>
                <w:szCs w:val="21"/>
              </w:rPr>
              <w:t xml:space="preserve">Personalised Development Roadmap Generation</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6B0F4A"/>
                <w:sz w:val="20"/>
                <w:szCs w:val="20"/>
              </w:rPr>
              <w:t xml:space="preserve">▸  </w:t>
            </w:r>
            <w:r>
              <w:rPr>
                <w:rFonts w:ascii="Arial" w:cs="Arial" w:eastAsia="Arial" w:hAnsi="Arial"/>
                <w:color w:val="162232"/>
                <w:sz w:val="20"/>
                <w:szCs w:val="20"/>
              </w:rPr>
              <w:t xml:space="preserve">AI-generated skill development roadmap: upon completing a gap analysis, the platform automatically generates a personalised Skill Development Roadmap for each student — a prioritised sequence of recommended courses, activities, and real-world challenges addressing their highest-priority gaps first, calibrated to be achievable within the student's available time.</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6B0F4A"/>
                <w:sz w:val="20"/>
                <w:szCs w:val="20"/>
              </w:rPr>
              <w:t xml:space="preserve">▸  </w:t>
            </w:r>
            <w:r>
              <w:rPr>
                <w:rFonts w:ascii="Arial" w:cs="Arial" w:eastAsia="Arial" w:hAnsi="Arial"/>
                <w:color w:val="162232"/>
                <w:sz w:val="20"/>
                <w:szCs w:val="20"/>
              </w:rPr>
              <w:t xml:space="preserve">Gap priority scoring: not all gaps are equally urgent — the platform scores each gap by multiplying its magnitude by its relevance to the student's stated goals and the criticality of the skill in their grade-level framework — producing a prioritised gap list that focuses the student's development energy where it matters most.</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6B0F4A"/>
                <w:sz w:val="20"/>
                <w:szCs w:val="20"/>
              </w:rPr>
              <w:t xml:space="preserve">▸  </w:t>
            </w:r>
            <w:r>
              <w:rPr>
                <w:rFonts w:ascii="Arial" w:cs="Arial" w:eastAsia="Arial" w:hAnsi="Arial"/>
                <w:color w:val="162232"/>
                <w:sz w:val="20"/>
                <w:szCs w:val="20"/>
              </w:rPr>
              <w:t xml:space="preserve">Resource recommendation per gap: for each identified gap, the roadmap includes specific recommended resources from the platform — skill course modules, practice exercises, suggested reading, relevant Dojo challenges, and external certified courses — giving students a clear, immediate 'next step' rather than a vague instruction to improve.</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6B0F4A"/>
                <w:sz w:val="20"/>
                <w:szCs w:val="20"/>
              </w:rPr>
              <w:t xml:space="preserve">▸  </w:t>
            </w:r>
            <w:r>
              <w:rPr>
                <w:rFonts w:ascii="Arial" w:cs="Arial" w:eastAsia="Arial" w:hAnsi="Arial"/>
                <w:color w:val="162232"/>
                <w:sz w:val="20"/>
                <w:szCs w:val="20"/>
              </w:rPr>
              <w:t xml:space="preserve">Roadmap pacing and milestone setting: the development roadmap includes suggested timelines for closing each gap — based on the gap magnitude, the student's historical skill acquisition rate, and the available course resources — with quarterly milestone checkpoints built into the plan.</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6B0F4A"/>
                <w:sz w:val="20"/>
                <w:szCs w:val="20"/>
              </w:rPr>
              <w:t xml:space="preserve">▸  </w:t>
            </w:r>
            <w:r>
              <w:rPr>
                <w:rFonts w:ascii="Arial" w:cs="Arial" w:eastAsia="Arial" w:hAnsi="Arial"/>
                <w:color w:val="162232"/>
                <w:sz w:val="20"/>
                <w:szCs w:val="20"/>
              </w:rPr>
              <w:t xml:space="preserve">Parent and counsellor roadmap view: the roadmap is shared with parents in a simplified, plain-language version highlighting the student's key development areas and recommended home activities — and with counsellors in a detailed clinical version including evidence references and intervention recommendations.</w:t>
            </w:r>
          </w:p>
        </w:tc>
      </w:tr>
      <w:tr>
        <w:tc>
          <w:tcPr>
            <w:tcW w:type="dxa" w:w="9360"/>
            <w:tcBorders>
              <w:top w:val="single" w:color="B8CDDE" w:sz="1"/>
              <w:left w:val="single" w:color="B8CDDE" w:sz="1"/>
              <w:bottom w:val="single" w:color="B8CDDE" w:sz="1"/>
              <w:right w:val="single" w:color="B8CDDE" w:sz="1"/>
            </w:tcBorders>
            <w:shd w:fill="F2F5F9" w:val="clear"/>
            <w:tcMar>
              <w:top w:type="dxa" w:w="100"/>
              <w:left w:type="dxa" w:w="240"/>
              <w:bottom w:type="dxa" w:w="10"/>
              <w:right w:type="dxa" w:w="240"/>
            </w:tcMar>
          </w:tcPr>
          <w:p>
            <w:pPr>
              <w:spacing w:before="50" w:after="0"/>
            </w:pPr>
            <w:r>
              <w:rPr>
                <w:rFonts w:ascii="Arial" w:cs="Arial" w:eastAsia="Arial" w:hAnsi="Arial"/>
                <w:b/>
                <w:bCs/>
                <w:color w:val="9C1470"/>
                <w:sz w:val="21"/>
                <w:szCs w:val="21"/>
              </w:rPr>
              <w:t xml:space="preserve">School-Level &amp; Systemic Gap Analysis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6B0F4A"/>
                <w:sz w:val="20"/>
                <w:szCs w:val="20"/>
              </w:rPr>
              <w:t xml:space="preserve">▸  </w:t>
            </w:r>
            <w:r>
              <w:rPr>
                <w:rFonts w:ascii="Arial" w:cs="Arial" w:eastAsia="Arial" w:hAnsi="Arial"/>
                <w:color w:val="162232"/>
                <w:sz w:val="20"/>
                <w:szCs w:val="20"/>
              </w:rPr>
              <w:t xml:space="preserve">Cohort gap heat map: a colour-coded grid displaying skill proficiency levels across all students (rows) and all skill micro-competencies (columns) — enabling academic coordinators to instantly identify skills where a large proportion of the cohort is underperforming, signalling a curriculum delivery or opportunity gap rather than individual student deficit.</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6B0F4A"/>
                <w:sz w:val="20"/>
                <w:szCs w:val="20"/>
              </w:rPr>
              <w:t xml:space="preserve">▸  </w:t>
            </w:r>
            <w:r>
              <w:rPr>
                <w:rFonts w:ascii="Arial" w:cs="Arial" w:eastAsia="Arial" w:hAnsi="Arial"/>
                <w:color w:val="162232"/>
                <w:sz w:val="20"/>
                <w:szCs w:val="20"/>
              </w:rPr>
              <w:t xml:space="preserve">Grade progression gap analysis: tracks whether students are closing their skill gaps as they progress from one grade to the next — stagnant or widening gaps across grade transitions indicate that the skill curriculum for a particular domain is not producing sufficient developmental progress.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6B0F4A"/>
                <w:sz w:val="20"/>
                <w:szCs w:val="20"/>
              </w:rPr>
              <w:t xml:space="preserve">▸  </w:t>
            </w:r>
            <w:r>
              <w:rPr>
                <w:rFonts w:ascii="Arial" w:cs="Arial" w:eastAsia="Arial" w:hAnsi="Arial"/>
                <w:color w:val="162232"/>
                <w:sz w:val="20"/>
                <w:szCs w:val="20"/>
              </w:rPr>
              <w:t xml:space="preserve">Teacher/facilitator skill gap contribution analysis: examines whether skill gaps are more prevalent in classes taught by specific facilitators — enabling targeted professional development interventions for facilitators whose students consistently show larger-than-average gaps in their subject skill areas.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6B0F4A"/>
                <w:sz w:val="20"/>
                <w:szCs w:val="20"/>
              </w:rPr>
              <w:t xml:space="preserve">▸  </w:t>
            </w:r>
            <w:r>
              <w:rPr>
                <w:rFonts w:ascii="Arial" w:cs="Arial" w:eastAsia="Arial" w:hAnsi="Arial"/>
                <w:color w:val="162232"/>
                <w:sz w:val="20"/>
                <w:szCs w:val="20"/>
              </w:rPr>
              <w:t xml:space="preserve">Gender and demographic gap disaggregation: gap analysis data is disaggregated by gender, SEN status, socioeconomic indicator, and academic stream — surfacing equity dimensions of skill development and informing targeted inclusion strategies.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6B0F4A"/>
                <w:sz w:val="20"/>
                <w:szCs w:val="20"/>
              </w:rPr>
              <w:t xml:space="preserve">▸  </w:t>
            </w:r>
            <w:r>
              <w:rPr>
                <w:rFonts w:ascii="Arial" w:cs="Arial" w:eastAsia="Arial" w:hAnsi="Arial"/>
                <w:color w:val="162232"/>
                <w:sz w:val="20"/>
                <w:szCs w:val="20"/>
              </w:rPr>
              <w:t xml:space="preserve">Annual skill gap trend report: school leadership receives an annual report comparing the cohort's average skill gap profile this year versus the previous two years — evidencing whether the school's skill development programme is progressively closing identified gaps over time.</w:t>
            </w:r>
          </w:p>
        </w:tc>
      </w:tr>
      <w:tr>
        <w:tc>
          <w:tcPr>
            <w:tcW w:type="dxa" w:w="9360"/>
            <w:tcBorders>
              <w:top w:val="single" w:color="B8CDDE" w:sz="1"/>
              <w:left w:val="single" w:color="B8CDDE" w:sz="1"/>
              <w:bottom w:val="single" w:color="B8CDDE" w:sz="1"/>
              <w:right w:val="single" w:color="B8CDDE" w:sz="1"/>
            </w:tcBorders>
            <w:shd w:fill="F2F5F9" w:val="clear"/>
            <w:tcMar>
              <w:top w:type="dxa" w:w="100"/>
              <w:left w:type="dxa" w:w="240"/>
              <w:bottom w:type="dxa" w:w="10"/>
              <w:right w:type="dxa" w:w="240"/>
            </w:tcMar>
          </w:tcPr>
          <w:p>
            <w:pPr>
              <w:spacing w:before="50" w:after="0"/>
            </w:pPr>
            <w:r>
              <w:rPr>
                <w:rFonts w:ascii="Arial" w:cs="Arial" w:eastAsia="Arial" w:hAnsi="Arial"/>
                <w:b/>
                <w:bCs/>
                <w:color w:val="9C1470"/>
                <w:sz w:val="21"/>
                <w:szCs w:val="21"/>
              </w:rPr>
              <w:t xml:space="preserve">Integration with Career &amp; Academic Planning</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6B0F4A"/>
                <w:sz w:val="20"/>
                <w:szCs w:val="20"/>
              </w:rPr>
              <w:t xml:space="preserve">▸  </w:t>
            </w:r>
            <w:r>
              <w:rPr>
                <w:rFonts w:ascii="Arial" w:cs="Arial" w:eastAsia="Arial" w:hAnsi="Arial"/>
                <w:color w:val="162232"/>
                <w:sz w:val="20"/>
                <w:szCs w:val="20"/>
              </w:rPr>
              <w:t xml:space="preserve">Career readiness gap forecast: for Class 10–12 students, the gap analysis engine projects the student's expected skill profile at graduation (extrapolating from current growth rate) and compares it against the skill requirements of their target career clusters — flagging critical gaps that must be prioritised to remain career-ready by graduation.</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6B0F4A"/>
                <w:sz w:val="20"/>
                <w:szCs w:val="20"/>
              </w:rPr>
              <w:t xml:space="preserve">▸  </w:t>
            </w:r>
            <w:r>
              <w:rPr>
                <w:rFonts w:ascii="Arial" w:cs="Arial" w:eastAsia="Arial" w:hAnsi="Arial"/>
                <w:color w:val="162232"/>
                <w:sz w:val="20"/>
                <w:szCs w:val="20"/>
              </w:rPr>
              <w:t xml:space="preserve">University and higher education alignment: for students targeting specific higher education institutions or programmes (e.g., IIT, NID, IIM, international universities), the gap analysis includes skill profiles sourced from those institutions' published entry competency frameworks — giving students a precise target to work towards.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6B0F4A"/>
                <w:sz w:val="20"/>
                <w:szCs w:val="20"/>
              </w:rPr>
              <w:t xml:space="preserve">▸  </w:t>
            </w:r>
            <w:r>
              <w:rPr>
                <w:rFonts w:ascii="Arial" w:cs="Arial" w:eastAsia="Arial" w:hAnsi="Arial"/>
                <w:color w:val="162232"/>
                <w:sz w:val="20"/>
                <w:szCs w:val="20"/>
              </w:rPr>
              <w:t xml:space="preserve">Scholarship and award eligibility gap indicator: for skill-based scholarships and awards (e.g., National Skill Excellence Award, PM YASASVI), the platform maps the eligibility criteria against the student's skill profile and identifies the specific gaps preventing current eligibility — creating a targeted preparation pathway.</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6B0F4A"/>
                <w:sz w:val="20"/>
                <w:szCs w:val="20"/>
              </w:rPr>
              <w:t xml:space="preserve">▸  </w:t>
            </w:r>
            <w:r>
              <w:rPr>
                <w:rFonts w:ascii="Arial" w:cs="Arial" w:eastAsia="Arial" w:hAnsi="Arial"/>
                <w:color w:val="162232"/>
                <w:sz w:val="20"/>
                <w:szCs w:val="20"/>
              </w:rPr>
              <w:t xml:space="preserve">Subject-skill gap cross-reference: identifies cases where skill gaps are contributing to academic performance deficits — e.g., a student with a significant 'Analytical Reasoning' skill gap also performing poorly in Mathematics — enabling integrated academic and skill development interventions rather than treating them as separate problems.</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DDE" w:sz="1"/>
              <w:left w:val="single" w:color="B8CDDE" w:sz="1"/>
              <w:bottom w:val="single" w:color="B8CDDE" w:sz="1"/>
              <w:right w:val="single" w:color="B8CDDE" w:sz="1"/>
            </w:tcBorders>
            <w:shd w:fill="7A3B0A" w:val="clear"/>
            <w:tcMar>
              <w:top w:type="dxa" w:w="155"/>
              <w:left w:type="dxa" w:w="240"/>
              <w:bottom w:type="dxa" w:w="155"/>
              <w:right w:type="dxa" w:w="240"/>
            </w:tcMar>
          </w:tcPr>
          <w:p>
            <w:r>
              <w:rPr>
                <w:rFonts w:ascii="Arial" w:cs="Arial" w:eastAsia="Arial" w:hAnsi="Arial"/>
                <w:b/>
                <w:bCs/>
                <w:color w:val="FFFFFF"/>
                <w:sz w:val="24"/>
                <w:szCs w:val="24"/>
              </w:rPr>
              <w:t xml:space="preserve">4.  </w:t>
            </w:r>
            <w:r>
              <w:rPr>
                <w:rFonts w:ascii="Arial" w:cs="Arial" w:eastAsia="Arial" w:hAnsi="Arial"/>
                <w:b/>
                <w:bCs/>
                <w:color w:val="FFFFFF"/>
                <w:sz w:val="32"/>
                <w:szCs w:val="32"/>
              </w:rPr>
              <w:t xml:space="preserve">Skill Progress Tracking</w:t>
            </w:r>
          </w:p>
        </w:tc>
      </w:tr>
      <w:tr>
        <w:tc>
          <w:tcPr>
            <w:tcW w:type="dxa" w:w="9360"/>
            <w:tcBorders>
              <w:top w:val="single" w:color="B8CDDE" w:sz="1"/>
              <w:left w:val="single" w:color="B8CDDE" w:sz="1"/>
              <w:bottom w:val="single" w:color="B8CDDE" w:sz="1"/>
              <w:right w:val="single" w:color="B8CDDE" w:sz="1"/>
            </w:tcBorders>
            <w:shd w:fill="FAE8D4" w:val="clear"/>
            <w:tcMar>
              <w:top w:type="dxa" w:w="115"/>
              <w:left w:type="dxa" w:w="240"/>
              <w:bottom w:type="dxa" w:w="115"/>
              <w:right w:type="dxa" w:w="240"/>
            </w:tcMar>
          </w:tcPr>
          <w:p>
            <w:r>
              <w:rPr>
                <w:rFonts w:ascii="Arial" w:cs="Arial" w:eastAsia="Arial" w:hAnsi="Arial"/>
                <w:b/>
                <w:bCs/>
                <w:color w:val="7A3B0A"/>
                <w:sz w:val="21"/>
                <w:szCs w:val="21"/>
              </w:rPr>
              <w:t xml:space="preserve">Overview  </w:t>
            </w:r>
            <w:r>
              <w:rPr>
                <w:rFonts w:ascii="Arial" w:cs="Arial" w:eastAsia="Arial" w:hAnsi="Arial"/>
                <w:i/>
                <w:iCs/>
                <w:color w:val="162232"/>
                <w:sz w:val="21"/>
                <w:szCs w:val="21"/>
              </w:rPr>
              <w:t xml:space="preserve">A longitudinal, evidence-rich monitoring system that captures the full arc of each student's skill development journey — from initial baseline assessment through progressive milestones to demonstrated mastery — providing students, teachers, parents, and administrators with a transparent, continuously updated view of skill growth.</w:t>
            </w:r>
          </w:p>
        </w:tc>
      </w:tr>
      <w:tr>
        <w:tc>
          <w:tcPr>
            <w:tcW w:type="dxa" w:w="9360"/>
            <w:tcBorders>
              <w:top w:val="single" w:color="B8CDDE" w:sz="1"/>
              <w:left w:val="single" w:color="B8CDDE" w:sz="1"/>
              <w:bottom w:val="single" w:color="B8CDDE" w:sz="1"/>
              <w:right w:val="single" w:color="B8CDDE" w:sz="1"/>
            </w:tcBorders>
            <w:shd w:fill="F2F5F9" w:val="clear"/>
            <w:tcMar>
              <w:top w:type="dxa" w:w="100"/>
              <w:left w:type="dxa" w:w="240"/>
              <w:bottom w:type="dxa" w:w="10"/>
              <w:right w:type="dxa" w:w="240"/>
            </w:tcMar>
          </w:tcPr>
          <w:p>
            <w:pPr>
              <w:spacing w:before="50" w:after="0"/>
            </w:pPr>
            <w:r>
              <w:rPr>
                <w:rFonts w:ascii="Arial" w:cs="Arial" w:eastAsia="Arial" w:hAnsi="Arial"/>
                <w:b/>
                <w:bCs/>
                <w:color w:val="A0500E"/>
                <w:sz w:val="21"/>
                <w:szCs w:val="21"/>
              </w:rPr>
              <w:t xml:space="preserve">Evidence Collection &amp; Progress Measurement</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7A3B0A"/>
                <w:sz w:val="20"/>
                <w:szCs w:val="20"/>
              </w:rPr>
              <w:t xml:space="preserve">▸  </w:t>
            </w:r>
            <w:r>
              <w:rPr>
                <w:rFonts w:ascii="Arial" w:cs="Arial" w:eastAsia="Arial" w:hAnsi="Arial"/>
                <w:color w:val="162232"/>
                <w:sz w:val="20"/>
                <w:szCs w:val="20"/>
              </w:rPr>
              <w:t xml:space="preserve">Multi-modal evidence portfolio: skill progress is tracked through a continuously growing evidence portfolio — every skill assessment result, facilitator observation rating, peer review score, course completion event, Dojo challenge outcome, co-curricular participation record, and self-reflection entry contributes a timestamped evidence item to the student's skill portfolio.</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7A3B0A"/>
                <w:sz w:val="20"/>
                <w:szCs w:val="20"/>
              </w:rPr>
              <w:t xml:space="preserve">▸  </w:t>
            </w:r>
            <w:r>
              <w:rPr>
                <w:rFonts w:ascii="Arial" w:cs="Arial" w:eastAsia="Arial" w:hAnsi="Arial"/>
                <w:color w:val="162232"/>
                <w:sz w:val="20"/>
                <w:szCs w:val="20"/>
              </w:rPr>
              <w:t xml:space="preserve">Evidence weighting algorithm: not all evidence is weighted equally — formal skill assessments carry the highest weight, followed by facilitator observations, peer assessments (calibrated for reliability), and self-assessments — the weighting model is transparent to students and can be viewed in the portfolio settings.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7A3B0A"/>
                <w:sz w:val="20"/>
                <w:szCs w:val="20"/>
              </w:rPr>
              <w:t xml:space="preserve">▸  </w:t>
            </w:r>
            <w:r>
              <w:rPr>
                <w:rFonts w:ascii="Arial" w:cs="Arial" w:eastAsia="Arial" w:hAnsi="Arial"/>
                <w:color w:val="162232"/>
                <w:sz w:val="20"/>
                <w:szCs w:val="20"/>
              </w:rPr>
              <w:t xml:space="preserve">Proficiency level progression logic: movement between proficiency levels (Emerging → Developing → Applying → Extending → Exemplifying) requires a configurable minimum number of corroborating evidence items at the new level — preventing single-data-point proficiency jumps that may not reflect sustained capability.</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7A3B0A"/>
                <w:sz w:val="20"/>
                <w:szCs w:val="20"/>
              </w:rPr>
              <w:t xml:space="preserve">▸  </w:t>
            </w:r>
            <w:r>
              <w:rPr>
                <w:rFonts w:ascii="Arial" w:cs="Arial" w:eastAsia="Arial" w:hAnsi="Arial"/>
                <w:color w:val="162232"/>
                <w:sz w:val="20"/>
                <w:szCs w:val="20"/>
              </w:rPr>
              <w:t xml:space="preserve">Evidence recency weighting: older evidence items are progressively down-weighted in the proficiency calculation — ensuring the current proficiency rating reflects the student's most recently demonstrated capability rather than averaging over their entire history, which would unfairly penalise early struggles.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7A3B0A"/>
                <w:sz w:val="20"/>
                <w:szCs w:val="20"/>
              </w:rPr>
              <w:t xml:space="preserve">▸  </w:t>
            </w:r>
            <w:r>
              <w:rPr>
                <w:rFonts w:ascii="Arial" w:cs="Arial" w:eastAsia="Arial" w:hAnsi="Arial"/>
                <w:color w:val="162232"/>
                <w:sz w:val="20"/>
                <w:szCs w:val="20"/>
              </w:rPr>
              <w:t xml:space="preserve">Skill decay monitoring: for skills not actively practised, the platform models a configurable skill retention curve — flagging skills that have not had fresh evidence added for an extended period as 'Needs Refreshing', prompting students to re-engage with the skill before the proficiency rating degrades.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7A3B0A"/>
                <w:sz w:val="20"/>
                <w:szCs w:val="20"/>
              </w:rPr>
              <w:t xml:space="preserve">▸  </w:t>
            </w:r>
            <w:r>
              <w:rPr>
                <w:rFonts w:ascii="Arial" w:cs="Arial" w:eastAsia="Arial" w:hAnsi="Arial"/>
                <w:color w:val="162232"/>
                <w:sz w:val="20"/>
                <w:szCs w:val="20"/>
              </w:rPr>
              <w:t xml:space="preserve">Observer calibration tracking: the reliability of each facilitator's observational ratings is tracked over time — facilitators whose ratings consistently diverge from other observers' ratings of the same students are flagged for calibration review, ensuring evidence quality across the school.</w:t>
            </w:r>
          </w:p>
        </w:tc>
      </w:tr>
      <w:tr>
        <w:tc>
          <w:tcPr>
            <w:tcW w:type="dxa" w:w="9360"/>
            <w:tcBorders>
              <w:top w:val="single" w:color="B8CDDE" w:sz="1"/>
              <w:left w:val="single" w:color="B8CDDE" w:sz="1"/>
              <w:bottom w:val="single" w:color="B8CDDE" w:sz="1"/>
              <w:right w:val="single" w:color="B8CDDE" w:sz="1"/>
            </w:tcBorders>
            <w:shd w:fill="F2F5F9" w:val="clear"/>
            <w:tcMar>
              <w:top w:type="dxa" w:w="100"/>
              <w:left w:type="dxa" w:w="240"/>
              <w:bottom w:type="dxa" w:w="10"/>
              <w:right w:type="dxa" w:w="240"/>
            </w:tcMar>
          </w:tcPr>
          <w:p>
            <w:pPr>
              <w:spacing w:before="50" w:after="0"/>
            </w:pPr>
            <w:r>
              <w:rPr>
                <w:rFonts w:ascii="Arial" w:cs="Arial" w:eastAsia="Arial" w:hAnsi="Arial"/>
                <w:b/>
                <w:bCs/>
                <w:color w:val="A0500E"/>
                <w:sz w:val="21"/>
                <w:szCs w:val="21"/>
              </w:rPr>
              <w:t xml:space="preserve">Student-Facing Progress Visualisation</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7A3B0A"/>
                <w:sz w:val="20"/>
                <w:szCs w:val="20"/>
              </w:rPr>
              <w:t xml:space="preserve">▸  </w:t>
            </w:r>
            <w:r>
              <w:rPr>
                <w:rFonts w:ascii="Arial" w:cs="Arial" w:eastAsia="Arial" w:hAnsi="Arial"/>
                <w:color w:val="162232"/>
                <w:sz w:val="20"/>
                <w:szCs w:val="20"/>
              </w:rPr>
              <w:t xml:space="preserve">Skill development radar chart: an interactive radar/spider chart on the student's dashboard showing current proficiency levels across all tracked skill domains — overlaid with the grade-level target profile to make the development gap visually immediate and motivating.</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7A3B0A"/>
                <w:sz w:val="20"/>
                <w:szCs w:val="20"/>
              </w:rPr>
              <w:t xml:space="preserve">▸  </w:t>
            </w:r>
            <w:r>
              <w:rPr>
                <w:rFonts w:ascii="Arial" w:cs="Arial" w:eastAsia="Arial" w:hAnsi="Arial"/>
                <w:color w:val="162232"/>
                <w:sz w:val="20"/>
                <w:szCs w:val="20"/>
              </w:rPr>
              <w:t xml:space="preserve">Longitudinal skill growth timeline: a scrollable timeline for each skill showing proficiency level transitions over the student's school career — from initial baseline to current status, with key milestone markers (first time reaching a new level, fastest growth periods) — making the learning journey visible and celebrating progress.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7A3B0A"/>
                <w:sz w:val="20"/>
                <w:szCs w:val="20"/>
              </w:rPr>
              <w:t xml:space="preserve">▸  </w:t>
            </w:r>
            <w:r>
              <w:rPr>
                <w:rFonts w:ascii="Arial" w:cs="Arial" w:eastAsia="Arial" w:hAnsi="Arial"/>
                <w:color w:val="162232"/>
                <w:sz w:val="20"/>
                <w:szCs w:val="20"/>
              </w:rPr>
              <w:t xml:space="preserve">Evidence gallery: students can browse all the evidence items in their skill portfolio — reading their facilitator's observation notes, viewing video clips of their past performance assessments, and seeing their self-reflection journey — building metacognitive awareness of their own development.</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7A3B0A"/>
                <w:sz w:val="20"/>
                <w:szCs w:val="20"/>
              </w:rPr>
              <w:t xml:space="preserve">▸  </w:t>
            </w:r>
            <w:r>
              <w:rPr>
                <w:rFonts w:ascii="Arial" w:cs="Arial" w:eastAsia="Arial" w:hAnsi="Arial"/>
                <w:color w:val="162232"/>
                <w:sz w:val="20"/>
                <w:szCs w:val="20"/>
              </w:rPr>
              <w:t xml:space="preserve">Weekly skill activity digest: a personalised weekly summary showing how many skill development activities the student completed, which skills received new evidence, and what their current progress is towards the next proficiency level on their priority skill — delivered as an in-app notification and optional email digest.</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7A3B0A"/>
                <w:sz w:val="20"/>
                <w:szCs w:val="20"/>
              </w:rPr>
              <w:t xml:space="preserve">▸  </w:t>
            </w:r>
            <w:r>
              <w:rPr>
                <w:rFonts w:ascii="Arial" w:cs="Arial" w:eastAsia="Arial" w:hAnsi="Arial"/>
                <w:color w:val="162232"/>
                <w:sz w:val="20"/>
                <w:szCs w:val="20"/>
              </w:rPr>
              <w:t xml:space="preserve">Skill milestone celebration system: when a student achieves a new proficiency level, they receive a milestone notification with a congratulatory message, a digital badge, and a personalised 'next challenge' recommendation — making progress feel rewarding and maintaining motivational momentum.</w:t>
            </w:r>
          </w:p>
        </w:tc>
      </w:tr>
      <w:tr>
        <w:tc>
          <w:tcPr>
            <w:tcW w:type="dxa" w:w="9360"/>
            <w:tcBorders>
              <w:top w:val="single" w:color="B8CDDE" w:sz="1"/>
              <w:left w:val="single" w:color="B8CDDE" w:sz="1"/>
              <w:bottom w:val="single" w:color="B8CDDE" w:sz="1"/>
              <w:right w:val="single" w:color="B8CDDE" w:sz="1"/>
            </w:tcBorders>
            <w:shd w:fill="F2F5F9" w:val="clear"/>
            <w:tcMar>
              <w:top w:type="dxa" w:w="100"/>
              <w:left w:type="dxa" w:w="240"/>
              <w:bottom w:type="dxa" w:w="10"/>
              <w:right w:type="dxa" w:w="240"/>
            </w:tcMar>
          </w:tcPr>
          <w:p>
            <w:pPr>
              <w:spacing w:before="50" w:after="0"/>
            </w:pPr>
            <w:r>
              <w:rPr>
                <w:rFonts w:ascii="Arial" w:cs="Arial" w:eastAsia="Arial" w:hAnsi="Arial"/>
                <w:b/>
                <w:bCs/>
                <w:color w:val="A0500E"/>
                <w:sz w:val="21"/>
                <w:szCs w:val="21"/>
              </w:rPr>
              <w:t xml:space="preserve">Teacher &amp; Coordinator Monitoring Interface</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7A3B0A"/>
                <w:sz w:val="20"/>
                <w:szCs w:val="20"/>
              </w:rPr>
              <w:t xml:space="preserve">▸  </w:t>
            </w:r>
            <w:r>
              <w:rPr>
                <w:rFonts w:ascii="Arial" w:cs="Arial" w:eastAsia="Arial" w:hAnsi="Arial"/>
                <w:color w:val="162232"/>
                <w:sz w:val="20"/>
                <w:szCs w:val="20"/>
              </w:rPr>
              <w:t xml:space="preserve">Class skill progress dashboard: for each skill course, the facilitator sees a real-time class-wide progress view — proficiency distribution across the class, students at each level, students who have progressed this week, and students showing no progress in the last fortnight — enabling proactive intervention before students fall significantly behind.</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7A3B0A"/>
                <w:sz w:val="20"/>
                <w:szCs w:val="20"/>
              </w:rPr>
              <w:t xml:space="preserve">▸  </w:t>
            </w:r>
            <w:r>
              <w:rPr>
                <w:rFonts w:ascii="Arial" w:cs="Arial" w:eastAsia="Arial" w:hAnsi="Arial"/>
                <w:color w:val="162232"/>
                <w:sz w:val="20"/>
                <w:szCs w:val="20"/>
              </w:rPr>
              <w:t xml:space="preserve">Individual student skill trajectory view: teachers can drill into any student's full skill progress record — viewing the complete evidence timeline, proficiency history, gap analysis, and roadmap progress — with the ability to add their own facilitator observation directly from this view.</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7A3B0A"/>
                <w:sz w:val="20"/>
                <w:szCs w:val="20"/>
              </w:rPr>
              <w:t xml:space="preserve">▸  </w:t>
            </w:r>
            <w:r>
              <w:rPr>
                <w:rFonts w:ascii="Arial" w:cs="Arial" w:eastAsia="Arial" w:hAnsi="Arial"/>
                <w:color w:val="162232"/>
                <w:sz w:val="20"/>
                <w:szCs w:val="20"/>
              </w:rPr>
              <w:t xml:space="preserve">Progress velocity analysis: identifies students progressing significantly faster than the class average (candidates for extension challenges) and students progressing significantly slower (candidates for additional support) — automatically flagging both groups for differentiated facilitation.</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7A3B0A"/>
                <w:sz w:val="20"/>
                <w:szCs w:val="20"/>
              </w:rPr>
              <w:t xml:space="preserve">▸  </w:t>
            </w:r>
            <w:r>
              <w:rPr>
                <w:rFonts w:ascii="Arial" w:cs="Arial" w:eastAsia="Arial" w:hAnsi="Arial"/>
                <w:color w:val="162232"/>
                <w:sz w:val="20"/>
                <w:szCs w:val="20"/>
              </w:rPr>
              <w:t xml:space="preserve">Skill development stagnation alerts: students who have not shown any measurable skill progress across any tracked skill in the past 21 days receive an escalating alert sequence — first a gentle prompt to the student, then a parent notification, then a facilitator flag — ensuring no student drifts unnoticed.</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7A3B0A"/>
                <w:sz w:val="20"/>
                <w:szCs w:val="20"/>
              </w:rPr>
              <w:t xml:space="preserve">▸  </w:t>
            </w:r>
            <w:r>
              <w:rPr>
                <w:rFonts w:ascii="Arial" w:cs="Arial" w:eastAsia="Arial" w:hAnsi="Arial"/>
                <w:color w:val="162232"/>
                <w:sz w:val="20"/>
                <w:szCs w:val="20"/>
              </w:rPr>
              <w:t xml:space="preserve">Grade-level skill readiness report: academic coordinators receive a term-end readiness report showing what percentage of each grade's students have achieved the minimum expected proficiency across each skill domain — identifying skills where the grade is collectively not on track for end-of-year targets.</w:t>
            </w:r>
          </w:p>
        </w:tc>
      </w:tr>
      <w:tr>
        <w:tc>
          <w:tcPr>
            <w:tcW w:type="dxa" w:w="9360"/>
            <w:tcBorders>
              <w:top w:val="single" w:color="B8CDDE" w:sz="1"/>
              <w:left w:val="single" w:color="B8CDDE" w:sz="1"/>
              <w:bottom w:val="single" w:color="B8CDDE" w:sz="1"/>
              <w:right w:val="single" w:color="B8CDDE" w:sz="1"/>
            </w:tcBorders>
            <w:shd w:fill="F2F5F9" w:val="clear"/>
            <w:tcMar>
              <w:top w:type="dxa" w:w="100"/>
              <w:left w:type="dxa" w:w="240"/>
              <w:bottom w:type="dxa" w:w="10"/>
              <w:right w:type="dxa" w:w="240"/>
            </w:tcMar>
          </w:tcPr>
          <w:p>
            <w:pPr>
              <w:spacing w:before="50" w:after="0"/>
            </w:pPr>
            <w:r>
              <w:rPr>
                <w:rFonts w:ascii="Arial" w:cs="Arial" w:eastAsia="Arial" w:hAnsi="Arial"/>
                <w:b/>
                <w:bCs/>
                <w:color w:val="A0500E"/>
                <w:sz w:val="21"/>
                <w:szCs w:val="21"/>
              </w:rPr>
              <w:t xml:space="preserve">Parent Engagement &amp; Reporting</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7A3B0A"/>
                <w:sz w:val="20"/>
                <w:szCs w:val="20"/>
              </w:rPr>
              <w:t xml:space="preserve">▸  </w:t>
            </w:r>
            <w:r>
              <w:rPr>
                <w:rFonts w:ascii="Arial" w:cs="Arial" w:eastAsia="Arial" w:hAnsi="Arial"/>
                <w:color w:val="162232"/>
                <w:sz w:val="20"/>
                <w:szCs w:val="20"/>
              </w:rPr>
              <w:t xml:space="preserve">Parent skill progress portal: parents have a dedicated, simplified skill progress view on their portal — showing their child's overall skill profile, top three strengths, top three development priorities, and current roadmap progress — updated in real time without requiring parent to request reports.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7A3B0A"/>
                <w:sz w:val="20"/>
                <w:szCs w:val="20"/>
              </w:rPr>
              <w:t xml:space="preserve">▸  </w:t>
            </w:r>
            <w:r>
              <w:rPr>
                <w:rFonts w:ascii="Arial" w:cs="Arial" w:eastAsia="Arial" w:hAnsi="Arial"/>
                <w:color w:val="162232"/>
                <w:sz w:val="20"/>
                <w:szCs w:val="20"/>
              </w:rPr>
              <w:t xml:space="preserve">Monthly skill progress email digest: automated monthly email to parents summarising their child's skill progress — new proficiency levels achieved, evidence highlights (e.g., 'Your child received an Excellent rating from their facilitator for Leadership in this month's group project'), and one suggested home activity per priority skill.</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7A3B0A"/>
                <w:sz w:val="20"/>
                <w:szCs w:val="20"/>
              </w:rPr>
              <w:t xml:space="preserve">▸  </w:t>
            </w:r>
            <w:r>
              <w:rPr>
                <w:rFonts w:ascii="Arial" w:cs="Arial" w:eastAsia="Arial" w:hAnsi="Arial"/>
                <w:color w:val="162232"/>
                <w:sz w:val="20"/>
                <w:szCs w:val="20"/>
              </w:rPr>
              <w:t xml:space="preserve">Parent-teacher skill conference preparation: before scheduled PTMs, the platform generates a skill progress summary card for each student — pre-populating the discussion agenda with the student's top skill achievements and priority development areas for the parent meeting.</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7A3B0A"/>
                <w:sz w:val="20"/>
                <w:szCs w:val="20"/>
              </w:rPr>
              <w:t xml:space="preserve">▸  </w:t>
            </w:r>
            <w:r>
              <w:rPr>
                <w:rFonts w:ascii="Arial" w:cs="Arial" w:eastAsia="Arial" w:hAnsi="Arial"/>
                <w:color w:val="162232"/>
                <w:sz w:val="20"/>
                <w:szCs w:val="20"/>
              </w:rPr>
              <w:t xml:space="preserve">Annual skill development report: a comprehensive end-of-year skill development report generated per student — covering all eight skill domains, proficiency achieved vs. targeted, evidence highlights, facilitator qualitative commentary, and goals for the next academic year — included alongside the academic report card in the student's annual record.</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DDE" w:sz="1"/>
              <w:left w:val="single" w:color="B8CDDE" w:sz="1"/>
              <w:bottom w:val="single" w:color="B8CDDE" w:sz="1"/>
              <w:right w:val="single" w:color="B8CDDE" w:sz="1"/>
            </w:tcBorders>
            <w:shd w:fill="1E3A4F" w:val="clear"/>
            <w:tcMar>
              <w:top w:type="dxa" w:w="155"/>
              <w:left w:type="dxa" w:w="240"/>
              <w:bottom w:type="dxa" w:w="155"/>
              <w:right w:type="dxa" w:w="240"/>
            </w:tcMar>
          </w:tcPr>
          <w:p>
            <w:r>
              <w:rPr>
                <w:rFonts w:ascii="Arial" w:cs="Arial" w:eastAsia="Arial" w:hAnsi="Arial"/>
                <w:b/>
                <w:bCs/>
                <w:color w:val="FFFFFF"/>
                <w:sz w:val="24"/>
                <w:szCs w:val="24"/>
              </w:rPr>
              <w:t xml:space="preserve">5.  </w:t>
            </w:r>
            <w:r>
              <w:rPr>
                <w:rFonts w:ascii="Arial" w:cs="Arial" w:eastAsia="Arial" w:hAnsi="Arial"/>
                <w:b/>
                <w:bCs/>
                <w:color w:val="FFFFFF"/>
                <w:sz w:val="32"/>
                <w:szCs w:val="32"/>
              </w:rPr>
              <w:t xml:space="preserve">Industry Skill Mapping</w:t>
            </w:r>
          </w:p>
        </w:tc>
      </w:tr>
      <w:tr>
        <w:tc>
          <w:tcPr>
            <w:tcW w:type="dxa" w:w="9360"/>
            <w:tcBorders>
              <w:top w:val="single" w:color="B8CDDE" w:sz="1"/>
              <w:left w:val="single" w:color="B8CDDE" w:sz="1"/>
              <w:bottom w:val="single" w:color="B8CDDE" w:sz="1"/>
              <w:right w:val="single" w:color="B8CDDE" w:sz="1"/>
            </w:tcBorders>
            <w:shd w:fill="D6E8F3" w:val="clear"/>
            <w:tcMar>
              <w:top w:type="dxa" w:w="115"/>
              <w:left w:type="dxa" w:w="240"/>
              <w:bottom w:type="dxa" w:w="115"/>
              <w:right w:type="dxa" w:w="240"/>
            </w:tcMar>
          </w:tcPr>
          <w:p>
            <w:r>
              <w:rPr>
                <w:rFonts w:ascii="Arial" w:cs="Arial" w:eastAsia="Arial" w:hAnsi="Arial"/>
                <w:b/>
                <w:bCs/>
                <w:color w:val="1E3A4F"/>
                <w:sz w:val="21"/>
                <w:szCs w:val="21"/>
              </w:rPr>
              <w:t xml:space="preserve">Overview  </w:t>
            </w:r>
            <w:r>
              <w:rPr>
                <w:rFonts w:ascii="Arial" w:cs="Arial" w:eastAsia="Arial" w:hAnsi="Arial"/>
                <w:i/>
                <w:iCs/>
                <w:color w:val="162232"/>
                <w:sz w:val="21"/>
                <w:szCs w:val="21"/>
              </w:rPr>
              <w:t xml:space="preserve">Creates a dynamic, live-updated bridge between the school's skill development curriculum and the evolving skill requirements of industries and career pathways — ensuring that the skills students develop are explicitly grounded in real-world demand, making skill learning tangibly relevant to students' futures.</w:t>
            </w:r>
          </w:p>
        </w:tc>
      </w:tr>
      <w:tr>
        <w:tc>
          <w:tcPr>
            <w:tcW w:type="dxa" w:w="9360"/>
            <w:tcBorders>
              <w:top w:val="single" w:color="B8CDDE" w:sz="1"/>
              <w:left w:val="single" w:color="B8CDDE" w:sz="1"/>
              <w:bottom w:val="single" w:color="B8CDDE" w:sz="1"/>
              <w:right w:val="single" w:color="B8CDDE" w:sz="1"/>
            </w:tcBorders>
            <w:shd w:fill="F2F5F9" w:val="clear"/>
            <w:tcMar>
              <w:top w:type="dxa" w:w="100"/>
              <w:left w:type="dxa" w:w="240"/>
              <w:bottom w:type="dxa" w:w="10"/>
              <w:right w:type="dxa" w:w="240"/>
            </w:tcMar>
          </w:tcPr>
          <w:p>
            <w:pPr>
              <w:spacing w:before="50" w:after="0"/>
            </w:pPr>
            <w:r>
              <w:rPr>
                <w:rFonts w:ascii="Arial" w:cs="Arial" w:eastAsia="Arial" w:hAnsi="Arial"/>
                <w:b/>
                <w:bCs/>
                <w:color w:val="2A5270"/>
                <w:sz w:val="21"/>
                <w:szCs w:val="21"/>
              </w:rPr>
              <w:t xml:space="preserve">Industry Skill Framework &amp; Data Sources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1E3A4F"/>
                <w:sz w:val="20"/>
                <w:szCs w:val="20"/>
              </w:rPr>
              <w:t xml:space="preserve">▸  </w:t>
            </w:r>
            <w:r>
              <w:rPr>
                <w:rFonts w:ascii="Arial" w:cs="Arial" w:eastAsia="Arial" w:hAnsi="Arial"/>
                <w:color w:val="162232"/>
                <w:sz w:val="20"/>
                <w:szCs w:val="20"/>
              </w:rPr>
              <w:t xml:space="preserve">Living industry skill database: the platform maintains a curated, regularly updated database of skill requirements across 80+ career clusters (Technology, Healthcare, Finance, Legal, Creative Industries, Agriculture, Manufacturing, Public Service, Entrepreneurship, etc.) — sourced from job market data providers (LinkedIn Talent Insights, NASSCOM Future Skills, National Occupational Standards), industry association frameworks, and direct partnerships with employer organisations.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1E3A4F"/>
                <w:sz w:val="20"/>
                <w:szCs w:val="20"/>
              </w:rPr>
              <w:t xml:space="preserve">▸  </w:t>
            </w:r>
            <w:r>
              <w:rPr>
                <w:rFonts w:ascii="Arial" w:cs="Arial" w:eastAsia="Arial" w:hAnsi="Arial"/>
                <w:color w:val="162232"/>
                <w:sz w:val="20"/>
                <w:szCs w:val="20"/>
              </w:rPr>
              <w:t xml:space="preserve">Occupation-specific skill profiles: for each career within a cluster, a detailed skill profile is maintained — listing required technical skills (tools, methodologies, domain knowledge), core competencies (problem-solving, communication, analytical thinking), and soft skills (leadership, adaptability, cultural competence) — each with a proficiency level expectation for entry-level, mid-level, and senior roles.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1E3A4F"/>
                <w:sz w:val="20"/>
                <w:szCs w:val="20"/>
              </w:rPr>
              <w:t xml:space="preserve">▸  </w:t>
            </w:r>
            <w:r>
              <w:rPr>
                <w:rFonts w:ascii="Arial" w:cs="Arial" w:eastAsia="Arial" w:hAnsi="Arial"/>
                <w:color w:val="162232"/>
                <w:sz w:val="20"/>
                <w:szCs w:val="20"/>
              </w:rPr>
              <w:t xml:space="preserve">Emerging skills tracking: the database is updated quarterly to capture newly significant skills identified in future-of-work research — including AI literacy, climate adaptation, circular economy, biomimicry, and other emerging competency areas — ensuring the skill curriculum remains forward-looking rather than anchored to present-day requirements.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1E3A4F"/>
                <w:sz w:val="20"/>
                <w:szCs w:val="20"/>
              </w:rPr>
              <w:t xml:space="preserve">▸  </w:t>
            </w:r>
            <w:r>
              <w:rPr>
                <w:rFonts w:ascii="Arial" w:cs="Arial" w:eastAsia="Arial" w:hAnsi="Arial"/>
                <w:color w:val="162232"/>
                <w:sz w:val="20"/>
                <w:szCs w:val="20"/>
              </w:rPr>
              <w:t xml:space="preserve">Local and regional labour market integration: in addition to national and global skill frameworks, the platform incorporates state-level and district-level employment data — surfacing locally relevant skill priorities for schools in regions with specific industrial profiles (e.g., textile industry skills in Surat, IT skills in Bengaluru, agriculture-tech skills in Pune).</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1E3A4F"/>
                <w:sz w:val="20"/>
                <w:szCs w:val="20"/>
              </w:rPr>
              <w:t xml:space="preserve">▸  </w:t>
            </w:r>
            <w:r>
              <w:rPr>
                <w:rFonts w:ascii="Arial" w:cs="Arial" w:eastAsia="Arial" w:hAnsi="Arial"/>
                <w:color w:val="162232"/>
                <w:sz w:val="20"/>
                <w:szCs w:val="20"/>
              </w:rPr>
              <w:t xml:space="preserve">Employer advisory panel input: the platform convenes a periodic employer advisory review where HR leaders from partnering organisations validate and update the skill profiles for their sectors — ensuring that the database reflects actual hiring practice, not just formally published job descriptions.</w:t>
            </w:r>
          </w:p>
        </w:tc>
      </w:tr>
      <w:tr>
        <w:tc>
          <w:tcPr>
            <w:tcW w:type="dxa" w:w="9360"/>
            <w:tcBorders>
              <w:top w:val="single" w:color="B8CDDE" w:sz="1"/>
              <w:left w:val="single" w:color="B8CDDE" w:sz="1"/>
              <w:bottom w:val="single" w:color="B8CDDE" w:sz="1"/>
              <w:right w:val="single" w:color="B8CDDE" w:sz="1"/>
            </w:tcBorders>
            <w:shd w:fill="F2F5F9" w:val="clear"/>
            <w:tcMar>
              <w:top w:type="dxa" w:w="100"/>
              <w:left w:type="dxa" w:w="240"/>
              <w:bottom w:type="dxa" w:w="10"/>
              <w:right w:type="dxa" w:w="240"/>
            </w:tcMar>
          </w:tcPr>
          <w:p>
            <w:pPr>
              <w:spacing w:before="50" w:after="0"/>
            </w:pPr>
            <w:r>
              <w:rPr>
                <w:rFonts w:ascii="Arial" w:cs="Arial" w:eastAsia="Arial" w:hAnsi="Arial"/>
                <w:b/>
                <w:bCs/>
                <w:color w:val="2A5270"/>
                <w:sz w:val="21"/>
                <w:szCs w:val="21"/>
              </w:rPr>
              <w:t xml:space="preserve">Curriculum-to-Industry Mapping</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1E3A4F"/>
                <w:sz w:val="20"/>
                <w:szCs w:val="20"/>
              </w:rPr>
              <w:t xml:space="preserve">▸  </w:t>
            </w:r>
            <w:r>
              <w:rPr>
                <w:rFonts w:ascii="Arial" w:cs="Arial" w:eastAsia="Arial" w:hAnsi="Arial"/>
                <w:color w:val="162232"/>
                <w:sz w:val="20"/>
                <w:szCs w:val="20"/>
              </w:rPr>
              <w:t xml:space="preserve">Skill course-to-career alignment matrix: every skill course in the platform is mapped against the relevant career cluster skill profiles — displaying, for each course, which career pathways it contributes to and how many proficiency points it is estimated to develop towards each mapped career's requirements.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1E3A4F"/>
                <w:sz w:val="20"/>
                <w:szCs w:val="20"/>
              </w:rPr>
              <w:t xml:space="preserve">▸  </w:t>
            </w:r>
            <w:r>
              <w:rPr>
                <w:rFonts w:ascii="Arial" w:cs="Arial" w:eastAsia="Arial" w:hAnsi="Arial"/>
                <w:color w:val="162232"/>
                <w:sz w:val="20"/>
                <w:szCs w:val="20"/>
              </w:rPr>
              <w:t xml:space="preserve">Curriculum gap vs. industry demand report: an automated analysis comparing the skill domains actively developed by the school's current skill curriculum against the top skill demands of the career clusters most popular among the school's students — identifying curriculum areas under-developed relative to student career interest and local employer demand.</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1E3A4F"/>
                <w:sz w:val="20"/>
                <w:szCs w:val="20"/>
              </w:rPr>
              <w:t xml:space="preserve">▸  </w:t>
            </w:r>
            <w:r>
              <w:rPr>
                <w:rFonts w:ascii="Arial" w:cs="Arial" w:eastAsia="Arial" w:hAnsi="Arial"/>
                <w:color w:val="162232"/>
                <w:sz w:val="20"/>
                <w:szCs w:val="20"/>
              </w:rPr>
              <w:t xml:space="preserve">Subject-to-skill mapping: academic subjects are cross-mapped to the skills they inherently develop — e.g., Mathematics develops Analytical Reasoning and Quantitative Literacy; Debate Club develops Communication, Critical Thinking, and Persuasion; Computer Science develops Digital Literacy, Algorithmic Thinking, and Problem Solving — making the skill development value of academic study explicit.</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1E3A4F"/>
                <w:sz w:val="20"/>
                <w:szCs w:val="20"/>
              </w:rPr>
              <w:t xml:space="preserve">▸  </w:t>
            </w:r>
            <w:r>
              <w:rPr>
                <w:rFonts w:ascii="Arial" w:cs="Arial" w:eastAsia="Arial" w:hAnsi="Arial"/>
                <w:color w:val="162232"/>
                <w:sz w:val="20"/>
                <w:szCs w:val="20"/>
              </w:rPr>
              <w:t xml:space="preserve">Industry project integration: the platform enables schools to source real-world project briefs from partner industry organisations — students work on authentic industry challenges as part of their skill development curriculum, with outputs evaluated jointly by school facilitators and industry mentors.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1E3A4F"/>
                <w:sz w:val="20"/>
                <w:szCs w:val="20"/>
              </w:rPr>
              <w:t xml:space="preserve">▸  </w:t>
            </w:r>
            <w:r>
              <w:rPr>
                <w:rFonts w:ascii="Arial" w:cs="Arial" w:eastAsia="Arial" w:hAnsi="Arial"/>
                <w:color w:val="162232"/>
                <w:sz w:val="20"/>
                <w:szCs w:val="20"/>
              </w:rPr>
              <w:t xml:space="preserve">Alumni career outcome feedback loop: alumni who completed the skill development programme and have entered the workforce are invited to complete an annual career outcome survey — their self-reported skill readiness ratings and employer feedback flow back into the industry mapping database, creating a school-specific longitudinal validity study.</w:t>
            </w:r>
          </w:p>
        </w:tc>
      </w:tr>
      <w:tr>
        <w:tc>
          <w:tcPr>
            <w:tcW w:type="dxa" w:w="9360"/>
            <w:tcBorders>
              <w:top w:val="single" w:color="B8CDDE" w:sz="1"/>
              <w:left w:val="single" w:color="B8CDDE" w:sz="1"/>
              <w:bottom w:val="single" w:color="B8CDDE" w:sz="1"/>
              <w:right w:val="single" w:color="B8CDDE" w:sz="1"/>
            </w:tcBorders>
            <w:shd w:fill="F2F5F9" w:val="clear"/>
            <w:tcMar>
              <w:top w:type="dxa" w:w="100"/>
              <w:left w:type="dxa" w:w="240"/>
              <w:bottom w:type="dxa" w:w="10"/>
              <w:right w:type="dxa" w:w="240"/>
            </w:tcMar>
          </w:tcPr>
          <w:p>
            <w:pPr>
              <w:spacing w:before="50" w:after="0"/>
            </w:pPr>
            <w:r>
              <w:rPr>
                <w:rFonts w:ascii="Arial" w:cs="Arial" w:eastAsia="Arial" w:hAnsi="Arial"/>
                <w:b/>
                <w:bCs/>
                <w:color w:val="2A5270"/>
                <w:sz w:val="21"/>
                <w:szCs w:val="21"/>
              </w:rPr>
              <w:t xml:space="preserve">Student Career Pathway Intelligence</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1E3A4F"/>
                <w:sz w:val="20"/>
                <w:szCs w:val="20"/>
              </w:rPr>
              <w:t xml:space="preserve">▸  </w:t>
            </w:r>
            <w:r>
              <w:rPr>
                <w:rFonts w:ascii="Arial" w:cs="Arial" w:eastAsia="Arial" w:hAnsi="Arial"/>
                <w:color w:val="162232"/>
                <w:sz w:val="20"/>
                <w:szCs w:val="20"/>
              </w:rPr>
              <w:t xml:space="preserve">Personalised career skill gap report: each student can access a Career Pathway Intelligence report — selecting one or more career clusters of interest, the platform immediately generates a comparison between their current skill profile and the target skill profile for that career pathway, showing precise gaps and recommended development actions.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1E3A4F"/>
                <w:sz w:val="20"/>
                <w:szCs w:val="20"/>
              </w:rPr>
              <w:t xml:space="preserve">▸  </w:t>
            </w:r>
            <w:r>
              <w:rPr>
                <w:rFonts w:ascii="Arial" w:cs="Arial" w:eastAsia="Arial" w:hAnsi="Arial"/>
                <w:color w:val="162232"/>
                <w:sz w:val="20"/>
                <w:szCs w:val="20"/>
              </w:rPr>
              <w:t xml:space="preserve">Career pathway skill simulation: a 'What If' planning tool allowing students to explore hypothetical skill development scenarios — e.g., 'If I complete these three skill courses and one industry project over the next two years, what percentage of the Data Science career pathway requirements will I have met?' — enabling strategic skill planning.</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1E3A4F"/>
                <w:sz w:val="20"/>
                <w:szCs w:val="20"/>
              </w:rPr>
              <w:t xml:space="preserve">▸  </w:t>
            </w:r>
            <w:r>
              <w:rPr>
                <w:rFonts w:ascii="Arial" w:cs="Arial" w:eastAsia="Arial" w:hAnsi="Arial"/>
                <w:color w:val="162232"/>
                <w:sz w:val="20"/>
                <w:szCs w:val="20"/>
              </w:rPr>
              <w:t xml:space="preserve">Top career match visualisation: based on the student's current skill profile and profile trajectory, the platform suggests the top 5 career clusters where the student is best aligned — presented with alignment percentage, required additional skills, and suggested next development steps.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1E3A4F"/>
                <w:sz w:val="20"/>
                <w:szCs w:val="20"/>
              </w:rPr>
              <w:t xml:space="preserve">▸  </w:t>
            </w:r>
            <w:r>
              <w:rPr>
                <w:rFonts w:ascii="Arial" w:cs="Arial" w:eastAsia="Arial" w:hAnsi="Arial"/>
                <w:color w:val="162232"/>
                <w:sz w:val="20"/>
                <w:szCs w:val="20"/>
              </w:rPr>
              <w:t xml:space="preserve">Skill-to-salary context: for senior students (Classes 10–12), career pathway reports include indicative salary ranges, employment demand trends (growing / stable / declining), and geographic demand hotspots for each career — making the economic relevance of skill development concrete and motivating.</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1E3A4F"/>
                <w:sz w:val="20"/>
                <w:szCs w:val="20"/>
              </w:rPr>
              <w:t xml:space="preserve">▸  </w:t>
            </w:r>
            <w:r>
              <w:rPr>
                <w:rFonts w:ascii="Arial" w:cs="Arial" w:eastAsia="Arial" w:hAnsi="Arial"/>
                <w:color w:val="162232"/>
                <w:sz w:val="20"/>
                <w:szCs w:val="20"/>
              </w:rPr>
              <w:t xml:space="preserve">Stream selection skill advisory: at the Class 10 stream selection decision point, the platform provides a data-driven advisory report showing which academic stream (Science / Commerce / Arts) best aligns with each student's current skill profile and career aspirations — supporting more informed stream selection decisions.</w:t>
            </w:r>
          </w:p>
        </w:tc>
      </w:tr>
      <w:tr>
        <w:tc>
          <w:tcPr>
            <w:tcW w:type="dxa" w:w="9360"/>
            <w:tcBorders>
              <w:top w:val="single" w:color="B8CDDE" w:sz="1"/>
              <w:left w:val="single" w:color="B8CDDE" w:sz="1"/>
              <w:bottom w:val="single" w:color="B8CDDE" w:sz="1"/>
              <w:right w:val="single" w:color="B8CDDE" w:sz="1"/>
            </w:tcBorders>
            <w:shd w:fill="F2F5F9" w:val="clear"/>
            <w:tcMar>
              <w:top w:type="dxa" w:w="100"/>
              <w:left w:type="dxa" w:w="240"/>
              <w:bottom w:type="dxa" w:w="10"/>
              <w:right w:type="dxa" w:w="240"/>
            </w:tcMar>
          </w:tcPr>
          <w:p>
            <w:pPr>
              <w:spacing w:before="50" w:after="0"/>
            </w:pPr>
            <w:r>
              <w:rPr>
                <w:rFonts w:ascii="Arial" w:cs="Arial" w:eastAsia="Arial" w:hAnsi="Arial"/>
                <w:b/>
                <w:bCs/>
                <w:color w:val="2A5270"/>
                <w:sz w:val="21"/>
                <w:szCs w:val="21"/>
              </w:rPr>
              <w:t xml:space="preserve">Institutional Industry Partnership Management</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1E3A4F"/>
                <w:sz w:val="20"/>
                <w:szCs w:val="20"/>
              </w:rPr>
              <w:t xml:space="preserve">▸  </w:t>
            </w:r>
            <w:r>
              <w:rPr>
                <w:rFonts w:ascii="Arial" w:cs="Arial" w:eastAsia="Arial" w:hAnsi="Arial"/>
                <w:color w:val="162232"/>
                <w:sz w:val="20"/>
                <w:szCs w:val="20"/>
              </w:rPr>
              <w:t xml:space="preserve">Industry partner network: schools can register and manage their relationships with industry partner organisations directly in the platform — recording partnership agreements, contact persons, collaboration history, and agreed activities (guest lectures, internships, project briefs, skill assessments).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1E3A4F"/>
                <w:sz w:val="20"/>
                <w:szCs w:val="20"/>
              </w:rPr>
              <w:t xml:space="preserve">▸  </w:t>
            </w:r>
            <w:r>
              <w:rPr>
                <w:rFonts w:ascii="Arial" w:cs="Arial" w:eastAsia="Arial" w:hAnsi="Arial"/>
                <w:color w:val="162232"/>
                <w:sz w:val="20"/>
                <w:szCs w:val="20"/>
              </w:rPr>
              <w:t xml:space="preserve">Industry mentor matching: the platform maintains a pool of verified industry mentors (volunteering professionals from partner organisations) — matching students to mentors based on career interest alignment, skill development stage, and mentor availability, with session scheduling and progress tracking integrated.</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1E3A4F"/>
                <w:sz w:val="20"/>
                <w:szCs w:val="20"/>
              </w:rPr>
              <w:t xml:space="preserve">▸  </w:t>
            </w:r>
            <w:r>
              <w:rPr>
                <w:rFonts w:ascii="Arial" w:cs="Arial" w:eastAsia="Arial" w:hAnsi="Arial"/>
                <w:color w:val="162232"/>
                <w:sz w:val="20"/>
                <w:szCs w:val="20"/>
              </w:rPr>
              <w:t xml:space="preserve">Corporate skill sponsor recognition: industry partners who sponsor specific skill courses, fund skill labs, or provide assessment experts receive formal recognition in the platform — their logo and contribution are displayed on the sponsored skill course, creating a community goodwill and corporate social responsibility record.</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1E3A4F"/>
                <w:sz w:val="20"/>
                <w:szCs w:val="20"/>
              </w:rPr>
              <w:t xml:space="preserve">▸  </w:t>
            </w:r>
            <w:r>
              <w:rPr>
                <w:rFonts w:ascii="Arial" w:cs="Arial" w:eastAsia="Arial" w:hAnsi="Arial"/>
                <w:color w:val="162232"/>
                <w:sz w:val="20"/>
                <w:szCs w:val="20"/>
              </w:rPr>
              <w:t xml:space="preserve">Industry skill audit for school reporting: schools can generate a formal Industry Alignment Report — showing their leadership, parent community, and potential partner organisations how comprehensively their skill curriculum maps to local and national employment demand — a powerful tool for school reputation and community trust building.</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DDE" w:sz="1"/>
              <w:left w:val="single" w:color="B8CDDE" w:sz="1"/>
              <w:bottom w:val="single" w:color="B8CDDE" w:sz="1"/>
              <w:right w:val="single" w:color="B8CDDE" w:sz="1"/>
            </w:tcBorders>
            <w:shd w:fill="3A5200" w:val="clear"/>
            <w:tcMar>
              <w:top w:type="dxa" w:w="155"/>
              <w:left w:type="dxa" w:w="240"/>
              <w:bottom w:type="dxa" w:w="155"/>
              <w:right w:type="dxa" w:w="240"/>
            </w:tcMar>
          </w:tcPr>
          <w:p>
            <w:r>
              <w:rPr>
                <w:rFonts w:ascii="Arial" w:cs="Arial" w:eastAsia="Arial" w:hAnsi="Arial"/>
                <w:b/>
                <w:bCs/>
                <w:color w:val="FFFFFF"/>
                <w:sz w:val="24"/>
                <w:szCs w:val="24"/>
              </w:rPr>
              <w:t xml:space="preserve">6.  </w:t>
            </w:r>
            <w:r>
              <w:rPr>
                <w:rFonts w:ascii="Arial" w:cs="Arial" w:eastAsia="Arial" w:hAnsi="Arial"/>
                <w:b/>
                <w:bCs/>
                <w:color w:val="FFFFFF"/>
                <w:sz w:val="32"/>
                <w:szCs w:val="32"/>
              </w:rPr>
              <w:t xml:space="preserve">Skill Certification Management</w:t>
            </w:r>
          </w:p>
        </w:tc>
      </w:tr>
      <w:tr>
        <w:tc>
          <w:tcPr>
            <w:tcW w:type="dxa" w:w="9360"/>
            <w:tcBorders>
              <w:top w:val="single" w:color="B8CDDE" w:sz="1"/>
              <w:left w:val="single" w:color="B8CDDE" w:sz="1"/>
              <w:bottom w:val="single" w:color="B8CDDE" w:sz="1"/>
              <w:right w:val="single" w:color="B8CDDE" w:sz="1"/>
            </w:tcBorders>
            <w:shd w:fill="E8F2CC" w:val="clear"/>
            <w:tcMar>
              <w:top w:type="dxa" w:w="115"/>
              <w:left w:type="dxa" w:w="240"/>
              <w:bottom w:type="dxa" w:w="115"/>
              <w:right w:type="dxa" w:w="240"/>
            </w:tcMar>
          </w:tcPr>
          <w:p>
            <w:r>
              <w:rPr>
                <w:rFonts w:ascii="Arial" w:cs="Arial" w:eastAsia="Arial" w:hAnsi="Arial"/>
                <w:b/>
                <w:bCs/>
                <w:color w:val="3A5200"/>
                <w:sz w:val="21"/>
                <w:szCs w:val="21"/>
              </w:rPr>
              <w:t xml:space="preserve">Overview  </w:t>
            </w:r>
            <w:r>
              <w:rPr>
                <w:rFonts w:ascii="Arial" w:cs="Arial" w:eastAsia="Arial" w:hAnsi="Arial"/>
                <w:i/>
                <w:iCs/>
                <w:color w:val="162232"/>
                <w:sz w:val="21"/>
                <w:szCs w:val="21"/>
              </w:rPr>
              <w:t xml:space="preserve">A comprehensive digital credentialing system that issues, manages, verifies, and tracks the full lifecycle of skill certifications earned by students — combining school-issued skill badges, board-recognised competency certificates, and industry-validated credentials into a unified, tamper-proof, shareable digital credential portfolio.</w:t>
            </w:r>
          </w:p>
        </w:tc>
      </w:tr>
      <w:tr>
        <w:tc>
          <w:tcPr>
            <w:tcW w:type="dxa" w:w="9360"/>
            <w:tcBorders>
              <w:top w:val="single" w:color="B8CDDE" w:sz="1"/>
              <w:left w:val="single" w:color="B8CDDE" w:sz="1"/>
              <w:bottom w:val="single" w:color="B8CDDE" w:sz="1"/>
              <w:right w:val="single" w:color="B8CDDE" w:sz="1"/>
            </w:tcBorders>
            <w:shd w:fill="F2F5F9" w:val="clear"/>
            <w:tcMar>
              <w:top w:type="dxa" w:w="100"/>
              <w:left w:type="dxa" w:w="240"/>
              <w:bottom w:type="dxa" w:w="10"/>
              <w:right w:type="dxa" w:w="240"/>
            </w:tcMar>
          </w:tcPr>
          <w:p>
            <w:pPr>
              <w:spacing w:before="50" w:after="0"/>
            </w:pPr>
            <w:r>
              <w:rPr>
                <w:rFonts w:ascii="Arial" w:cs="Arial" w:eastAsia="Arial" w:hAnsi="Arial"/>
                <w:b/>
                <w:bCs/>
                <w:color w:val="4E7000"/>
                <w:sz w:val="21"/>
                <w:szCs w:val="21"/>
              </w:rPr>
              <w:t xml:space="preserve">Certification Types &amp; Issuance Framework</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3A5200"/>
                <w:sz w:val="20"/>
                <w:szCs w:val="20"/>
              </w:rPr>
              <w:t xml:space="preserve">▸  </w:t>
            </w:r>
            <w:r>
              <w:rPr>
                <w:rFonts w:ascii="Arial" w:cs="Arial" w:eastAsia="Arial" w:hAnsi="Arial"/>
                <w:color w:val="162232"/>
                <w:sz w:val="20"/>
                <w:szCs w:val="20"/>
              </w:rPr>
              <w:t xml:space="preserve">Three-tier certification architecture: Tier 1 — School Skill Badges (micro-credentials for specific skill competencies verified internally by school facilitators), Tier 2 — Platform Skill Certificates (issued by the platform after verified multi-evidence proficiency achievement, carrying cross-school validity within the platform network), and Tier 3 — Industry-Validated Credentials (co-issued with partner industry bodies, professional associations, or certification providers like NSDC, Coursera, or Cambridge Assessment).</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3A5200"/>
                <w:sz w:val="20"/>
                <w:szCs w:val="20"/>
              </w:rPr>
              <w:t xml:space="preserve">▸  </w:t>
            </w:r>
            <w:r>
              <w:rPr>
                <w:rFonts w:ascii="Arial" w:cs="Arial" w:eastAsia="Arial" w:hAnsi="Arial"/>
                <w:color w:val="162232"/>
                <w:sz w:val="20"/>
                <w:szCs w:val="20"/>
              </w:rPr>
              <w:t xml:space="preserve">Competency-gated certificate issuance: certifications are not issued based on course completion alone — they require demonstrated proficiency at the specified level as evidenced by formal skill assessment results — ensuring certificates carry genuine credential value rather than being participation awards.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3A5200"/>
                <w:sz w:val="20"/>
                <w:szCs w:val="20"/>
              </w:rPr>
              <w:t xml:space="preserve">▸  </w:t>
            </w:r>
            <w:r>
              <w:rPr>
                <w:rFonts w:ascii="Arial" w:cs="Arial" w:eastAsia="Arial" w:hAnsi="Arial"/>
                <w:color w:val="162232"/>
                <w:sz w:val="20"/>
                <w:szCs w:val="20"/>
              </w:rPr>
              <w:t xml:space="preserve">Automatic certificate generation trigger: when a student's skill assessment results meet the predefined certification criteria (proficiency level, evidence count, facilitator endorsement), the certificate is automatically generated and dispatched — no manual admin intervention required for standard certifications.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3A5200"/>
                <w:sz w:val="20"/>
                <w:szCs w:val="20"/>
              </w:rPr>
              <w:t xml:space="preserve">▸  </w:t>
            </w:r>
            <w:r>
              <w:rPr>
                <w:rFonts w:ascii="Arial" w:cs="Arial" w:eastAsia="Arial" w:hAnsi="Arial"/>
                <w:color w:val="162232"/>
                <w:sz w:val="20"/>
                <w:szCs w:val="20"/>
              </w:rPr>
              <w:t xml:space="preserve">Facilitator endorsement mechanism: for Tier 1 school badges, a facilitator digital endorsement is embedded in the certificate metadata — attesting that the facilitator has personally observed the competency in the student — adding a human validation layer to the automated issuance process.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3A5200"/>
                <w:sz w:val="20"/>
                <w:szCs w:val="20"/>
              </w:rPr>
              <w:t xml:space="preserve">▸  </w:t>
            </w:r>
            <w:r>
              <w:rPr>
                <w:rFonts w:ascii="Arial" w:cs="Arial" w:eastAsia="Arial" w:hAnsi="Arial"/>
                <w:color w:val="162232"/>
                <w:sz w:val="20"/>
                <w:szCs w:val="20"/>
              </w:rPr>
              <w:t xml:space="preserve">Partial credit and stackable credentials: students who meet some but not all criteria for a full certification receive partial credit badges for the components they have achieved — these partial badges stack, and when the remaining components are completed, the full certificate is automatically issued without requiring the student to re-demonstrate already-certified components.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3A5200"/>
                <w:sz w:val="20"/>
                <w:szCs w:val="20"/>
              </w:rPr>
              <w:t xml:space="preserve">▸  </w:t>
            </w:r>
            <w:r>
              <w:rPr>
                <w:rFonts w:ascii="Arial" w:cs="Arial" w:eastAsia="Arial" w:hAnsi="Arial"/>
                <w:color w:val="162232"/>
                <w:sz w:val="20"/>
                <w:szCs w:val="20"/>
              </w:rPr>
              <w:t xml:space="preserve">Certificate customisation per skill domain: certificate visual design and content vary by skill domain — Leadership certificates have different visual branding from Digital Literacy certificates — reflecting the professional presentation standards of each skill domain and making the portfolio visually rich and domain-specific.</w:t>
            </w:r>
          </w:p>
        </w:tc>
      </w:tr>
      <w:tr>
        <w:tc>
          <w:tcPr>
            <w:tcW w:type="dxa" w:w="9360"/>
            <w:tcBorders>
              <w:top w:val="single" w:color="B8CDDE" w:sz="1"/>
              <w:left w:val="single" w:color="B8CDDE" w:sz="1"/>
              <w:bottom w:val="single" w:color="B8CDDE" w:sz="1"/>
              <w:right w:val="single" w:color="B8CDDE" w:sz="1"/>
            </w:tcBorders>
            <w:shd w:fill="F2F5F9" w:val="clear"/>
            <w:tcMar>
              <w:top w:type="dxa" w:w="100"/>
              <w:left w:type="dxa" w:w="240"/>
              <w:bottom w:type="dxa" w:w="10"/>
              <w:right w:type="dxa" w:w="240"/>
            </w:tcMar>
          </w:tcPr>
          <w:p>
            <w:pPr>
              <w:spacing w:before="50" w:after="0"/>
            </w:pPr>
            <w:r>
              <w:rPr>
                <w:rFonts w:ascii="Arial" w:cs="Arial" w:eastAsia="Arial" w:hAnsi="Arial"/>
                <w:b/>
                <w:bCs/>
                <w:color w:val="4E7000"/>
                <w:sz w:val="21"/>
                <w:szCs w:val="21"/>
              </w:rPr>
              <w:t xml:space="preserve">Blockchain-Backed Credential Integrity</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3A5200"/>
                <w:sz w:val="20"/>
                <w:szCs w:val="20"/>
              </w:rPr>
              <w:t xml:space="preserve">▸  </w:t>
            </w:r>
            <w:r>
              <w:rPr>
                <w:rFonts w:ascii="Arial" w:cs="Arial" w:eastAsia="Arial" w:hAnsi="Arial"/>
                <w:color w:val="162232"/>
                <w:sz w:val="20"/>
                <w:szCs w:val="20"/>
              </w:rPr>
              <w:t xml:space="preserve">Tamper-proof credential storage: all issued certificates are anchored to a distributed ledger (blockchain) — a cryptographic hash of each certificate's core data (recipient, skill, issuer, date, proficiency level, evidence summary) is written to the ledger at issuance, making any subsequent tampering immediately detectable.</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3A5200"/>
                <w:sz w:val="20"/>
                <w:szCs w:val="20"/>
              </w:rPr>
              <w:t xml:space="preserve">▸  </w:t>
            </w:r>
            <w:r>
              <w:rPr>
                <w:rFonts w:ascii="Arial" w:cs="Arial" w:eastAsia="Arial" w:hAnsi="Arial"/>
                <w:color w:val="162232"/>
                <w:sz w:val="20"/>
                <w:szCs w:val="20"/>
              </w:rPr>
              <w:t xml:space="preserve">One-click independent verification: every certificate contains a unique verification URL and QR code — any third party (university admissions officer, employer, scholarship committee) can verify the certificate's authenticity in real time by scanning the QR code or entering the certificate ID on the public verification portal — no login or platform account required.</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3A5200"/>
                <w:sz w:val="20"/>
                <w:szCs w:val="20"/>
              </w:rPr>
              <w:t xml:space="preserve">▸  </w:t>
            </w:r>
            <w:r>
              <w:rPr>
                <w:rFonts w:ascii="Arial" w:cs="Arial" w:eastAsia="Arial" w:hAnsi="Arial"/>
                <w:color w:val="162232"/>
                <w:sz w:val="20"/>
                <w:szCs w:val="20"/>
              </w:rPr>
              <w:t xml:space="preserve">Issuer digital signatures: certificates are cryptographically signed with the issuing school's registered digital signature certificate — the signature is validated in the verification process, confirming that the certificate was genuinely issued by the school and not forged.</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3A5200"/>
                <w:sz w:val="20"/>
                <w:szCs w:val="20"/>
              </w:rPr>
              <w:t xml:space="preserve">▸  </w:t>
            </w:r>
            <w:r>
              <w:rPr>
                <w:rFonts w:ascii="Arial" w:cs="Arial" w:eastAsia="Arial" w:hAnsi="Arial"/>
                <w:color w:val="162232"/>
                <w:sz w:val="20"/>
                <w:szCs w:val="20"/>
              </w:rPr>
              <w:t xml:space="preserve">Certificate revocation registry: if a certificate is issued in error (e.g., data entry mistake, assessment fraud discovered post-issuance), it can be revoked by the issuing school — the revocation is recorded on the ledger, and any subsequent verification attempt returns a 'Revoked' status with the revocation date and reason.</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3A5200"/>
                <w:sz w:val="20"/>
                <w:szCs w:val="20"/>
              </w:rPr>
              <w:t xml:space="preserve">▸  </w:t>
            </w:r>
            <w:r>
              <w:rPr>
                <w:rFonts w:ascii="Arial" w:cs="Arial" w:eastAsia="Arial" w:hAnsi="Arial"/>
                <w:color w:val="162232"/>
                <w:sz w:val="20"/>
                <w:szCs w:val="20"/>
              </w:rPr>
              <w:t xml:space="preserve">ABCE (Academic Blockchain Credential Exchange) compatibility: the platform's credentialing system is built to be interoperable with India's National Academic Depository (NAD) and global credential exchange standards — enabling seamless transfer of verified credentials to DigiLocker, LinkedIn, and other digital credential repositories.</w:t>
            </w:r>
          </w:p>
        </w:tc>
      </w:tr>
      <w:tr>
        <w:tc>
          <w:tcPr>
            <w:tcW w:type="dxa" w:w="9360"/>
            <w:tcBorders>
              <w:top w:val="single" w:color="B8CDDE" w:sz="1"/>
              <w:left w:val="single" w:color="B8CDDE" w:sz="1"/>
              <w:bottom w:val="single" w:color="B8CDDE" w:sz="1"/>
              <w:right w:val="single" w:color="B8CDDE" w:sz="1"/>
            </w:tcBorders>
            <w:shd w:fill="F2F5F9" w:val="clear"/>
            <w:tcMar>
              <w:top w:type="dxa" w:w="100"/>
              <w:left w:type="dxa" w:w="240"/>
              <w:bottom w:type="dxa" w:w="10"/>
              <w:right w:type="dxa" w:w="240"/>
            </w:tcMar>
          </w:tcPr>
          <w:p>
            <w:pPr>
              <w:spacing w:before="50" w:after="0"/>
            </w:pPr>
            <w:r>
              <w:rPr>
                <w:rFonts w:ascii="Arial" w:cs="Arial" w:eastAsia="Arial" w:hAnsi="Arial"/>
                <w:b/>
                <w:bCs/>
                <w:color w:val="4E7000"/>
                <w:sz w:val="21"/>
                <w:szCs w:val="21"/>
              </w:rPr>
              <w:t xml:space="preserve">Student Digital Credential Portfolio</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3A5200"/>
                <w:sz w:val="20"/>
                <w:szCs w:val="20"/>
              </w:rPr>
              <w:t xml:space="preserve">▸  </w:t>
            </w:r>
            <w:r>
              <w:rPr>
                <w:rFonts w:ascii="Arial" w:cs="Arial" w:eastAsia="Arial" w:hAnsi="Arial"/>
                <w:color w:val="162232"/>
                <w:sz w:val="20"/>
                <w:szCs w:val="20"/>
              </w:rPr>
              <w:t xml:space="preserve">Unified skill passport: all earned certifications — school badges, platform certificates, and external credentials — are consolidated into a single, visually rich digital Skill Passport accessible from the student's profile — presenting a comprehensive, verified picture of the student's skill achievements.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3A5200"/>
                <w:sz w:val="20"/>
                <w:szCs w:val="20"/>
              </w:rPr>
              <w:t xml:space="preserve">▸  </w:t>
            </w:r>
            <w:r>
              <w:rPr>
                <w:rFonts w:ascii="Arial" w:cs="Arial" w:eastAsia="Arial" w:hAnsi="Arial"/>
                <w:color w:val="162232"/>
                <w:sz w:val="20"/>
                <w:szCs w:val="20"/>
              </w:rPr>
              <w:t xml:space="preserve">Shareable credential URL and PDF export: students can generate a unique shareable URL for their full Skill Passport or for individual certificates — suitable for including in college applications, LinkedIn profiles, scholarship applications, and internship portfolios without requiring recipients to have a platform account.</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3A5200"/>
                <w:sz w:val="20"/>
                <w:szCs w:val="20"/>
              </w:rPr>
              <w:t xml:space="preserve">▸  </w:t>
            </w:r>
            <w:r>
              <w:rPr>
                <w:rFonts w:ascii="Arial" w:cs="Arial" w:eastAsia="Arial" w:hAnsi="Arial"/>
                <w:color w:val="162232"/>
                <w:sz w:val="20"/>
                <w:szCs w:val="20"/>
              </w:rPr>
              <w:t xml:space="preserve">Credential metadata richness: every certificate in the digital portfolio is backed by rich metadata — not just the skill name and proficiency level, but the specific evidence that supported the award (assessment scores, facilitator comments, peer review summary), the competency framework version used, and the issuing school's accreditation details — providing context that makes the credential genuinely informative rather than just declarative.</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3A5200"/>
                <w:sz w:val="20"/>
                <w:szCs w:val="20"/>
              </w:rPr>
              <w:t xml:space="preserve">▸  </w:t>
            </w:r>
            <w:r>
              <w:rPr>
                <w:rFonts w:ascii="Arial" w:cs="Arial" w:eastAsia="Arial" w:hAnsi="Arial"/>
                <w:color w:val="162232"/>
                <w:sz w:val="20"/>
                <w:szCs w:val="20"/>
              </w:rPr>
              <w:t xml:space="preserve">Credential expiry and renewal management: certifications with defined validity periods (e.g., First Aid, Digital Safety, Food Handling) display expiry dates in the portfolio — students and parents receive automated renewal reminders, and expired credentials are visually distinguished from current ones without being removed from the portfolio's historical record.</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3A5200"/>
                <w:sz w:val="20"/>
                <w:szCs w:val="20"/>
              </w:rPr>
              <w:t xml:space="preserve">▸  </w:t>
            </w:r>
            <w:r>
              <w:rPr>
                <w:rFonts w:ascii="Arial" w:cs="Arial" w:eastAsia="Arial" w:hAnsi="Arial"/>
                <w:color w:val="162232"/>
                <w:sz w:val="20"/>
                <w:szCs w:val="20"/>
              </w:rPr>
              <w:t xml:space="preserve">Third-party credential import: students can import externally earned certifications (Coursera, NPTEL, Google, Microsoft, NSDC Skill India) into their platform portfolio — verified through the issuing platform's API where available, or manually uploaded and marked as 'Self-Reported' where API verification is not available.</w:t>
            </w:r>
          </w:p>
        </w:tc>
      </w:tr>
      <w:tr>
        <w:tc>
          <w:tcPr>
            <w:tcW w:type="dxa" w:w="9360"/>
            <w:tcBorders>
              <w:top w:val="single" w:color="B8CDDE" w:sz="1"/>
              <w:left w:val="single" w:color="B8CDDE" w:sz="1"/>
              <w:bottom w:val="single" w:color="B8CDDE" w:sz="1"/>
              <w:right w:val="single" w:color="B8CDDE" w:sz="1"/>
            </w:tcBorders>
            <w:shd w:fill="F2F5F9" w:val="clear"/>
            <w:tcMar>
              <w:top w:type="dxa" w:w="100"/>
              <w:left w:type="dxa" w:w="240"/>
              <w:bottom w:type="dxa" w:w="10"/>
              <w:right w:type="dxa" w:w="240"/>
            </w:tcMar>
          </w:tcPr>
          <w:p>
            <w:pPr>
              <w:spacing w:before="50" w:after="0"/>
            </w:pPr>
            <w:r>
              <w:rPr>
                <w:rFonts w:ascii="Arial" w:cs="Arial" w:eastAsia="Arial" w:hAnsi="Arial"/>
                <w:b/>
                <w:bCs/>
                <w:color w:val="4E7000"/>
                <w:sz w:val="21"/>
                <w:szCs w:val="21"/>
              </w:rPr>
              <w:t xml:space="preserve">Institutional Certification Analytics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3A5200"/>
                <w:sz w:val="20"/>
                <w:szCs w:val="20"/>
              </w:rPr>
              <w:t xml:space="preserve">▸  </w:t>
            </w:r>
            <w:r>
              <w:rPr>
                <w:rFonts w:ascii="Arial" w:cs="Arial" w:eastAsia="Arial" w:hAnsi="Arial"/>
                <w:color w:val="162232"/>
                <w:sz w:val="20"/>
                <w:szCs w:val="20"/>
              </w:rPr>
              <w:t xml:space="preserve">Certification issuance dashboard: real-time view of all certifications issued by the school — total count, by skill domain, by grade level, by term — with trend charts showing the school's certification output growing over time as the skill development programme matures.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3A5200"/>
                <w:sz w:val="20"/>
                <w:szCs w:val="20"/>
              </w:rPr>
              <w:t xml:space="preserve">▸  </w:t>
            </w:r>
            <w:r>
              <w:rPr>
                <w:rFonts w:ascii="Arial" w:cs="Arial" w:eastAsia="Arial" w:hAnsi="Arial"/>
                <w:color w:val="162232"/>
                <w:sz w:val="20"/>
                <w:szCs w:val="20"/>
              </w:rPr>
              <w:t xml:space="preserve">Certification equity analysis: disaggregates certification data by gender, socioeconomic category, academic stream, and SEN status — identifies whether access to skill certification is equitably distributed across the student population or concentrated among certain demographic groups.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3A5200"/>
                <w:sz w:val="20"/>
                <w:szCs w:val="20"/>
              </w:rPr>
              <w:t xml:space="preserve">▸  </w:t>
            </w:r>
            <w:r>
              <w:rPr>
                <w:rFonts w:ascii="Arial" w:cs="Arial" w:eastAsia="Arial" w:hAnsi="Arial"/>
                <w:color w:val="162232"/>
                <w:sz w:val="20"/>
                <w:szCs w:val="20"/>
              </w:rPr>
              <w:t xml:space="preserve">High-value certification conversion rate: tracks what percentage of students who enrol in a skill course ultimately achieve the certification — low conversion rates indicate either that the certification criteria are set too high relative to the course design or that student support during the course is insufficient.</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3A5200"/>
                <w:sz w:val="20"/>
                <w:szCs w:val="20"/>
              </w:rPr>
              <w:t xml:space="preserve">▸  </w:t>
            </w:r>
            <w:r>
              <w:rPr>
                <w:rFonts w:ascii="Arial" w:cs="Arial" w:eastAsia="Arial" w:hAnsi="Arial"/>
                <w:color w:val="162232"/>
                <w:sz w:val="20"/>
                <w:szCs w:val="20"/>
              </w:rPr>
              <w:t xml:space="preserve">External credential recognition tracking: monitors whether universities, employers, and scholarship bodies are accepting and acting upon the school's issued skill credentials in admissions and hiring decisions — building an evidence base for the real-world currency of the school's certification programme.</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DDE" w:sz="1"/>
              <w:left w:val="single" w:color="B8CDDE" w:sz="1"/>
              <w:bottom w:val="single" w:color="B8CDDE" w:sz="1"/>
              <w:right w:val="single" w:color="B8CDDE" w:sz="1"/>
            </w:tcBorders>
            <w:shd w:fill="5C1A1A" w:val="clear"/>
            <w:tcMar>
              <w:top w:type="dxa" w:w="155"/>
              <w:left w:type="dxa" w:w="240"/>
              <w:bottom w:type="dxa" w:w="155"/>
              <w:right w:type="dxa" w:w="240"/>
            </w:tcMar>
          </w:tcPr>
          <w:p>
            <w:r>
              <w:rPr>
                <w:rFonts w:ascii="Arial" w:cs="Arial" w:eastAsia="Arial" w:hAnsi="Arial"/>
                <w:b/>
                <w:bCs/>
                <w:color w:val="FFFFFF"/>
                <w:sz w:val="24"/>
                <w:szCs w:val="24"/>
              </w:rPr>
              <w:t xml:space="preserve">7.  </w:t>
            </w:r>
            <w:r>
              <w:rPr>
                <w:rFonts w:ascii="Arial" w:cs="Arial" w:eastAsia="Arial" w:hAnsi="Arial"/>
                <w:b/>
                <w:bCs/>
                <w:color w:val="FFFFFF"/>
                <w:sz w:val="32"/>
                <w:szCs w:val="32"/>
              </w:rPr>
              <w:t xml:space="preserve">Skill Leaderboard</w:t>
            </w:r>
          </w:p>
        </w:tc>
      </w:tr>
      <w:tr>
        <w:tc>
          <w:tcPr>
            <w:tcW w:type="dxa" w:w="9360"/>
            <w:tcBorders>
              <w:top w:val="single" w:color="B8CDDE" w:sz="1"/>
              <w:left w:val="single" w:color="B8CDDE" w:sz="1"/>
              <w:bottom w:val="single" w:color="B8CDDE" w:sz="1"/>
              <w:right w:val="single" w:color="B8CDDE" w:sz="1"/>
            </w:tcBorders>
            <w:shd w:fill="F8DADA" w:val="clear"/>
            <w:tcMar>
              <w:top w:type="dxa" w:w="115"/>
              <w:left w:type="dxa" w:w="240"/>
              <w:bottom w:type="dxa" w:w="115"/>
              <w:right w:type="dxa" w:w="240"/>
            </w:tcMar>
          </w:tcPr>
          <w:p>
            <w:r>
              <w:rPr>
                <w:rFonts w:ascii="Arial" w:cs="Arial" w:eastAsia="Arial" w:hAnsi="Arial"/>
                <w:b/>
                <w:bCs/>
                <w:color w:val="5C1A1A"/>
                <w:sz w:val="21"/>
                <w:szCs w:val="21"/>
              </w:rPr>
              <w:t xml:space="preserve">Overview  </w:t>
            </w:r>
            <w:r>
              <w:rPr>
                <w:rFonts w:ascii="Arial" w:cs="Arial" w:eastAsia="Arial" w:hAnsi="Arial"/>
                <w:i/>
                <w:iCs/>
                <w:color w:val="162232"/>
                <w:sz w:val="21"/>
                <w:szCs w:val="21"/>
              </w:rPr>
              <w:t xml:space="preserve">A motivational, equity-conscious, and pedagogically grounded recognition and ranking system that celebrates skill development achievement — designed to inspire healthy aspiration and recognise diverse forms of excellence across skill domains, participation quality, growth velocity, and community contribution, rather than rewarding only top absolute performers.</w:t>
            </w:r>
          </w:p>
        </w:tc>
      </w:tr>
      <w:tr>
        <w:tc>
          <w:tcPr>
            <w:tcW w:type="dxa" w:w="9360"/>
            <w:tcBorders>
              <w:top w:val="single" w:color="B8CDDE" w:sz="1"/>
              <w:left w:val="single" w:color="B8CDDE" w:sz="1"/>
              <w:bottom w:val="single" w:color="B8CDDE" w:sz="1"/>
              <w:right w:val="single" w:color="B8CDDE" w:sz="1"/>
            </w:tcBorders>
            <w:shd w:fill="F2F5F9" w:val="clear"/>
            <w:tcMar>
              <w:top w:type="dxa" w:w="100"/>
              <w:left w:type="dxa" w:w="240"/>
              <w:bottom w:type="dxa" w:w="10"/>
              <w:right w:type="dxa" w:w="240"/>
            </w:tcMar>
          </w:tcPr>
          <w:p>
            <w:pPr>
              <w:spacing w:before="50" w:after="0"/>
            </w:pPr>
            <w:r>
              <w:rPr>
                <w:rFonts w:ascii="Arial" w:cs="Arial" w:eastAsia="Arial" w:hAnsi="Arial"/>
                <w:b/>
                <w:bCs/>
                <w:color w:val="7A2222"/>
                <w:sz w:val="21"/>
                <w:szCs w:val="21"/>
              </w:rPr>
              <w:t xml:space="preserve">Leaderboard Architecture &amp; Philosophy</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5C1A1A"/>
                <w:sz w:val="20"/>
                <w:szCs w:val="20"/>
              </w:rPr>
              <w:t xml:space="preserve">▸  </w:t>
            </w:r>
            <w:r>
              <w:rPr>
                <w:rFonts w:ascii="Arial" w:cs="Arial" w:eastAsia="Arial" w:hAnsi="Arial"/>
                <w:color w:val="162232"/>
                <w:sz w:val="20"/>
                <w:szCs w:val="20"/>
              </w:rPr>
              <w:t xml:space="preserve">Multi-dimensional ranking system: the platform operates six distinct leaderboards simultaneously — Overall Skill Points (total verified skill development points earned), Skill Domain Leaders (top performers per domain — Critical Thinking, Communication, Digital Literacy, etc.), Most Improved (students with the fastest proficiency growth rate over the past month), Consistency Champions (students with the most consecutive days of skill engagement), Community Contributors (students contributing most to peer learning through peer assessments and Dojo facilitation), and Skill Depth Leaders (students who have achieved the highest average proficiency level across all their certified skills) — ensuring diverse students are recognised for different forms of excellence.</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5C1A1A"/>
                <w:sz w:val="20"/>
                <w:szCs w:val="20"/>
              </w:rPr>
              <w:t xml:space="preserve">▸  </w:t>
            </w:r>
            <w:r>
              <w:rPr>
                <w:rFonts w:ascii="Arial" w:cs="Arial" w:eastAsia="Arial" w:hAnsi="Arial"/>
                <w:color w:val="162232"/>
                <w:sz w:val="20"/>
                <w:szCs w:val="20"/>
              </w:rPr>
              <w:t xml:space="preserve">Relative progress leaderboard option: in addition to absolute performance rankings, the platform offers a Relative Progress Leaderboard where students are ranked by their improvement from their individual baseline — explicitly rewarding growth regardless of starting point and making the leaderboard motivating for students at all ability levels, not just high achievers.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5C1A1A"/>
                <w:sz w:val="20"/>
                <w:szCs w:val="20"/>
              </w:rPr>
              <w:t xml:space="preserve">▸  </w:t>
            </w:r>
            <w:r>
              <w:rPr>
                <w:rFonts w:ascii="Arial" w:cs="Arial" w:eastAsia="Arial" w:hAnsi="Arial"/>
                <w:color w:val="162232"/>
                <w:sz w:val="20"/>
                <w:szCs w:val="20"/>
              </w:rPr>
              <w:t xml:space="preserve">Opt-in participation: student participation in leaderboards is opt-in by default — students and parents can choose whether the student's profile appears on public class/school leaderboards — ensuring privacy for students who find competitive rankings demotivating and reducing social comparison anxiety.</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5C1A1A"/>
                <w:sz w:val="20"/>
                <w:szCs w:val="20"/>
              </w:rPr>
              <w:t xml:space="preserve">▸  </w:t>
            </w:r>
            <w:r>
              <w:rPr>
                <w:rFonts w:ascii="Arial" w:cs="Arial" w:eastAsia="Arial" w:hAnsi="Arial"/>
                <w:color w:val="162232"/>
                <w:sz w:val="20"/>
                <w:szCs w:val="20"/>
              </w:rPr>
              <w:t xml:space="preserve">Age-appropriate leaderboard design: primary school leaderboards (Grades 1–5) use a team-based cooperative format rather than individual ranking — classes or houses earn collective skill points, promoting collaborative achievement; individual competitive ranking is introduced progressively from Grade 6.</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5C1A1A"/>
                <w:sz w:val="20"/>
                <w:szCs w:val="20"/>
              </w:rPr>
              <w:t xml:space="preserve">▸  </w:t>
            </w:r>
            <w:r>
              <w:rPr>
                <w:rFonts w:ascii="Arial" w:cs="Arial" w:eastAsia="Arial" w:hAnsi="Arial"/>
                <w:color w:val="162232"/>
                <w:sz w:val="20"/>
                <w:szCs w:val="20"/>
              </w:rPr>
              <w:t xml:space="preserve">Anti-gaming safeguards: skill points on the leaderboard are only awarded for verified, evidence-backed skill activities — watching a video or clicking through a course does not award points; only completed assessments, evaluated activities, and facilitator-endorsed demonstrations generate leaderboard credit, preventing point farming through trivial actions.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5C1A1A"/>
                <w:sz w:val="20"/>
                <w:szCs w:val="20"/>
              </w:rPr>
              <w:t xml:space="preserve">▸  </w:t>
            </w:r>
            <w:r>
              <w:rPr>
                <w:rFonts w:ascii="Arial" w:cs="Arial" w:eastAsia="Arial" w:hAnsi="Arial"/>
                <w:color w:val="162232"/>
                <w:sz w:val="20"/>
                <w:szCs w:val="20"/>
              </w:rPr>
              <w:t xml:space="preserve">Reset and fresh-start cycles: leaderboards reset at the start of each academic year and at each term boundary — giving every student a fresh start and preventing permanently entrenched rankings that discourage students who start the year behind.</w:t>
            </w:r>
          </w:p>
        </w:tc>
      </w:tr>
      <w:tr>
        <w:tc>
          <w:tcPr>
            <w:tcW w:type="dxa" w:w="9360"/>
            <w:tcBorders>
              <w:top w:val="single" w:color="B8CDDE" w:sz="1"/>
              <w:left w:val="single" w:color="B8CDDE" w:sz="1"/>
              <w:bottom w:val="single" w:color="B8CDDE" w:sz="1"/>
              <w:right w:val="single" w:color="B8CDDE" w:sz="1"/>
            </w:tcBorders>
            <w:shd w:fill="F2F5F9" w:val="clear"/>
            <w:tcMar>
              <w:top w:type="dxa" w:w="100"/>
              <w:left w:type="dxa" w:w="240"/>
              <w:bottom w:type="dxa" w:w="10"/>
              <w:right w:type="dxa" w:w="240"/>
            </w:tcMar>
          </w:tcPr>
          <w:p>
            <w:pPr>
              <w:spacing w:before="50" w:after="0"/>
            </w:pPr>
            <w:r>
              <w:rPr>
                <w:rFonts w:ascii="Arial" w:cs="Arial" w:eastAsia="Arial" w:hAnsi="Arial"/>
                <w:b/>
                <w:bCs/>
                <w:color w:val="7A2222"/>
                <w:sz w:val="21"/>
                <w:szCs w:val="21"/>
              </w:rPr>
              <w:t xml:space="preserve">Points, Badges &amp; Reward Architecture</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5C1A1A"/>
                <w:sz w:val="20"/>
                <w:szCs w:val="20"/>
              </w:rPr>
              <w:t xml:space="preserve">▸  </w:t>
            </w:r>
            <w:r>
              <w:rPr>
                <w:rFonts w:ascii="Arial" w:cs="Arial" w:eastAsia="Arial" w:hAnsi="Arial"/>
                <w:color w:val="162232"/>
                <w:sz w:val="20"/>
                <w:szCs w:val="20"/>
              </w:rPr>
              <w:t xml:space="preserve">Transparent skill points calculation: a published points schedule details exactly how many points each type of skill activity earns — e.g., completing a micro-assessment (5 pts), facilitator 'Applying' endorsement (25 pts), peer assessment given and received (10 pts each), Dojo challenge win (50 pts), industry project completion (100 pts), certification achieved (200 pts) — transparency prevents confusion and builds trust in the system.</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5C1A1A"/>
                <w:sz w:val="20"/>
                <w:szCs w:val="20"/>
              </w:rPr>
              <w:t xml:space="preserve">▸  </w:t>
            </w:r>
            <w:r>
              <w:rPr>
                <w:rFonts w:ascii="Arial" w:cs="Arial" w:eastAsia="Arial" w:hAnsi="Arial"/>
                <w:color w:val="162232"/>
                <w:sz w:val="20"/>
                <w:szCs w:val="20"/>
              </w:rPr>
              <w:t xml:space="preserve">Bonus multiplier events: the platform supports configurable bonus point periods — e.g., Skill Week (double points for all skill activities for 7 days), Domain Focus Month (triple points for a specific skill domain), or Community Challenge (bonus points for collective class milestones) — creating excitement and driving engagement spikes during strategically chosen periods.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5C1A1A"/>
                <w:sz w:val="20"/>
                <w:szCs w:val="20"/>
              </w:rPr>
              <w:t xml:space="preserve">▸  </w:t>
            </w:r>
            <w:r>
              <w:rPr>
                <w:rFonts w:ascii="Arial" w:cs="Arial" w:eastAsia="Arial" w:hAnsi="Arial"/>
                <w:color w:val="162232"/>
                <w:sz w:val="20"/>
                <w:szCs w:val="20"/>
              </w:rPr>
              <w:t xml:space="preserve">Achievement badge taxonomy: a rich library of 50+ skill achievement badges spanning milestone badges (first assessment, first certification, 30-day streak), mastery badges (reaching each proficiency level in each domain), community badges (top peer assessor, mentor to juniors), and special recognition badges (issued manually by facilitators for exceptional demonstrations not captured by automated criteria).</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5C1A1A"/>
                <w:sz w:val="20"/>
                <w:szCs w:val="20"/>
              </w:rPr>
              <w:t xml:space="preserve">▸  </w:t>
            </w:r>
            <w:r>
              <w:rPr>
                <w:rFonts w:ascii="Arial" w:cs="Arial" w:eastAsia="Arial" w:hAnsi="Arial"/>
                <w:color w:val="162232"/>
                <w:sz w:val="20"/>
                <w:szCs w:val="20"/>
              </w:rPr>
              <w:t xml:space="preserve">Physical and digital reward integration: schools can configure tangible reward redemption thresholds — students accumulating a defined number of points can redeem them for library credits, priority elective selection, canteen vouchers, or school store discounts — integrating the digital skill economy with the school's physical reward culture.</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5C1A1A"/>
                <w:sz w:val="20"/>
                <w:szCs w:val="20"/>
              </w:rPr>
              <w:t xml:space="preserve">▸  </w:t>
            </w:r>
            <w:r>
              <w:rPr>
                <w:rFonts w:ascii="Arial" w:cs="Arial" w:eastAsia="Arial" w:hAnsi="Arial"/>
                <w:color w:val="162232"/>
                <w:sz w:val="20"/>
                <w:szCs w:val="20"/>
              </w:rPr>
              <w:t xml:space="preserve">Facilitator-issued spot recognition: teachers and facilitators can issue 'Skill Spotlight' recognition badges instantly from any screen — recognising a student's in-the-moment skill demonstration with a personalised note — these peer-nominated recognitions appear on the student's profile and the class leaderboard with a special facilitator-endorsed marker.</w:t>
            </w:r>
          </w:p>
        </w:tc>
      </w:tr>
      <w:tr>
        <w:tc>
          <w:tcPr>
            <w:tcW w:type="dxa" w:w="9360"/>
            <w:tcBorders>
              <w:top w:val="single" w:color="B8CDDE" w:sz="1"/>
              <w:left w:val="single" w:color="B8CDDE" w:sz="1"/>
              <w:bottom w:val="single" w:color="B8CDDE" w:sz="1"/>
              <w:right w:val="single" w:color="B8CDDE" w:sz="1"/>
            </w:tcBorders>
            <w:shd w:fill="F2F5F9" w:val="clear"/>
            <w:tcMar>
              <w:top w:type="dxa" w:w="100"/>
              <w:left w:type="dxa" w:w="240"/>
              <w:bottom w:type="dxa" w:w="10"/>
              <w:right w:type="dxa" w:w="240"/>
            </w:tcMar>
          </w:tcPr>
          <w:p>
            <w:pPr>
              <w:spacing w:before="50" w:after="0"/>
            </w:pPr>
            <w:r>
              <w:rPr>
                <w:rFonts w:ascii="Arial" w:cs="Arial" w:eastAsia="Arial" w:hAnsi="Arial"/>
                <w:b/>
                <w:bCs/>
                <w:color w:val="7A2222"/>
                <w:sz w:val="21"/>
                <w:szCs w:val="21"/>
              </w:rPr>
              <w:t xml:space="preserve">Leaderboard Visibility &amp; Social Features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5C1A1A"/>
                <w:sz w:val="20"/>
                <w:szCs w:val="20"/>
              </w:rPr>
              <w:t xml:space="preserve">▸  </w:t>
            </w:r>
            <w:r>
              <w:rPr>
                <w:rFonts w:ascii="Arial" w:cs="Arial" w:eastAsia="Arial" w:hAnsi="Arial"/>
                <w:color w:val="162232"/>
                <w:sz w:val="20"/>
                <w:szCs w:val="20"/>
              </w:rPr>
              <w:t xml:space="preserve">Tiered visibility settings: leaderboards can be configured at three visibility levels — Individual-only (student sees only their own rank and the top 3), Class-level (full class leaderboard visible to all class members), or School-wide (entire school can see all leaderboards) — schools choose the appropriate level based on their culture and safeguarding considerations.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5C1A1A"/>
                <w:sz w:val="20"/>
                <w:szCs w:val="20"/>
              </w:rPr>
              <w:t xml:space="preserve">▸  </w:t>
            </w:r>
            <w:r>
              <w:rPr>
                <w:rFonts w:ascii="Arial" w:cs="Arial" w:eastAsia="Arial" w:hAnsi="Arial"/>
                <w:color w:val="162232"/>
                <w:sz w:val="20"/>
                <w:szCs w:val="20"/>
              </w:rPr>
              <w:t xml:space="preserve">House and team leaderboards: for schools with house systems or team structures, skill points can aggregate to house-level totals — creating whole-school community competition and collective pride around skill development alongside individual recognition.</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5C1A1A"/>
                <w:sz w:val="20"/>
                <w:szCs w:val="20"/>
              </w:rPr>
              <w:t xml:space="preserve">▸  </w:t>
            </w:r>
            <w:r>
              <w:rPr>
                <w:rFonts w:ascii="Arial" w:cs="Arial" w:eastAsia="Arial" w:hAnsi="Arial"/>
                <w:color w:val="162232"/>
                <w:sz w:val="20"/>
                <w:szCs w:val="20"/>
              </w:rPr>
              <w:t xml:space="preserve">Peer congratulations feature: when a student achieves a new certification or a major milestone, classmates and teachers can send a congratulations reaction directly from the leaderboard — creating a peer recognition micro-culture around skill achievement.</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5C1A1A"/>
                <w:sz w:val="20"/>
                <w:szCs w:val="20"/>
              </w:rPr>
              <w:t xml:space="preserve">▸  </w:t>
            </w:r>
            <w:r>
              <w:rPr>
                <w:rFonts w:ascii="Arial" w:cs="Arial" w:eastAsia="Arial" w:hAnsi="Arial"/>
                <w:color w:val="162232"/>
                <w:sz w:val="20"/>
                <w:szCs w:val="20"/>
              </w:rPr>
              <w:t xml:space="preserve">Alumni skill leaderboard: a separate, opt-in alumni leaderboard tracks the continuing skill development activity of past students who remain engaged with the platform after graduation — providing motivation for current students to see that skill development is a lifelong journey, not just a school activity.</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5C1A1A"/>
                <w:sz w:val="20"/>
                <w:szCs w:val="20"/>
              </w:rPr>
              <w:t xml:space="preserve">▸  </w:t>
            </w:r>
            <w:r>
              <w:rPr>
                <w:rFonts w:ascii="Arial" w:cs="Arial" w:eastAsia="Arial" w:hAnsi="Arial"/>
                <w:color w:val="162232"/>
                <w:sz w:val="20"/>
                <w:szCs w:val="20"/>
              </w:rPr>
              <w:t xml:space="preserve">Leaderboard history and archive: students can view their historical leaderboard positions from past terms and years — celebrating how far they have climbed and building a narrative of continuous improvement that is visible and affirming throughout their school journey.</w:t>
            </w:r>
          </w:p>
        </w:tc>
      </w:tr>
      <w:tr>
        <w:tc>
          <w:tcPr>
            <w:tcW w:type="dxa" w:w="9360"/>
            <w:tcBorders>
              <w:top w:val="single" w:color="B8CDDE" w:sz="1"/>
              <w:left w:val="single" w:color="B8CDDE" w:sz="1"/>
              <w:bottom w:val="single" w:color="B8CDDE" w:sz="1"/>
              <w:right w:val="single" w:color="B8CDDE" w:sz="1"/>
            </w:tcBorders>
            <w:shd w:fill="F2F5F9" w:val="clear"/>
            <w:tcMar>
              <w:top w:type="dxa" w:w="100"/>
              <w:left w:type="dxa" w:w="240"/>
              <w:bottom w:type="dxa" w:w="10"/>
              <w:right w:type="dxa" w:w="240"/>
            </w:tcMar>
          </w:tcPr>
          <w:p>
            <w:pPr>
              <w:spacing w:before="50" w:after="0"/>
            </w:pPr>
            <w:r>
              <w:rPr>
                <w:rFonts w:ascii="Arial" w:cs="Arial" w:eastAsia="Arial" w:hAnsi="Arial"/>
                <w:b/>
                <w:bCs/>
                <w:color w:val="7A2222"/>
                <w:sz w:val="21"/>
                <w:szCs w:val="21"/>
              </w:rPr>
              <w:t xml:space="preserve">Analytics &amp; Programme Health</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5C1A1A"/>
                <w:sz w:val="20"/>
                <w:szCs w:val="20"/>
              </w:rPr>
              <w:t xml:space="preserve">▸  </w:t>
            </w:r>
            <w:r>
              <w:rPr>
                <w:rFonts w:ascii="Arial" w:cs="Arial" w:eastAsia="Arial" w:hAnsi="Arial"/>
                <w:color w:val="162232"/>
                <w:sz w:val="20"/>
                <w:szCs w:val="20"/>
              </w:rPr>
              <w:t xml:space="preserve">Leaderboard engagement analytics: tracks what percentage of the student population is actively engaging with the leaderboard — participation rates by class, grade, gender, and stream — identifying cohorts for whom the leaderboard format is less motivating and prompting facilitators to explore complementary recognition mechanisms.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5C1A1A"/>
                <w:sz w:val="20"/>
                <w:szCs w:val="20"/>
              </w:rPr>
              <w:t xml:space="preserve">▸  </w:t>
            </w:r>
            <w:r>
              <w:rPr>
                <w:rFonts w:ascii="Arial" w:cs="Arial" w:eastAsia="Arial" w:hAnsi="Arial"/>
                <w:color w:val="162232"/>
                <w:sz w:val="20"/>
                <w:szCs w:val="20"/>
              </w:rPr>
              <w:t xml:space="preserve">Correlation between leaderboard engagement and skill development outcomes: measures whether students who actively engage with leaderboards develop skills faster than those who do not — providing evidence for or against the gamification strategy's effectiveness in the specific school context.</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5C1A1A"/>
                <w:sz w:val="20"/>
                <w:szCs w:val="20"/>
              </w:rPr>
              <w:t xml:space="preserve">▸  </w:t>
            </w:r>
            <w:r>
              <w:rPr>
                <w:rFonts w:ascii="Arial" w:cs="Arial" w:eastAsia="Arial" w:hAnsi="Arial"/>
                <w:color w:val="162232"/>
                <w:sz w:val="20"/>
                <w:szCs w:val="20"/>
              </w:rPr>
              <w:t xml:space="preserve">Facilitator leaderboard analytics: a parallel leaderboard for teachers tracking professional development activity, skill course design contributions, and mentoring hours — motivating faculty engagement with the skill development ecosystem and recognising teacher contributions to building the school's skill culture.</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5C1A1A"/>
                <w:sz w:val="20"/>
                <w:szCs w:val="20"/>
              </w:rPr>
              <w:t xml:space="preserve">▸  </w:t>
            </w:r>
            <w:r>
              <w:rPr>
                <w:rFonts w:ascii="Arial" w:cs="Arial" w:eastAsia="Arial" w:hAnsi="Arial"/>
                <w:color w:val="162232"/>
                <w:sz w:val="20"/>
                <w:szCs w:val="20"/>
              </w:rPr>
              <w:t xml:space="preserve">Equity monitoring dashboard: automatically analyses leaderboard data for demographic disparities — if students from certain demographic groups are systematically underrepresented in top leaderboard positions, the equity dashboard surfaces this pattern for leadership review and programme adjustment.</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DDE" w:sz="1"/>
              <w:left w:val="single" w:color="B8CDDE" w:sz="1"/>
              <w:bottom w:val="single" w:color="B8CDDE" w:sz="1"/>
              <w:right w:val="single" w:color="B8CDDE" w:sz="1"/>
            </w:tcBorders>
            <w:shd w:fill="0A4D5C" w:val="clear"/>
            <w:tcMar>
              <w:top w:type="dxa" w:w="155"/>
              <w:left w:type="dxa" w:w="240"/>
              <w:bottom w:type="dxa" w:w="155"/>
              <w:right w:type="dxa" w:w="240"/>
            </w:tcMar>
          </w:tcPr>
          <w:p>
            <w:r>
              <w:rPr>
                <w:rFonts w:ascii="Arial" w:cs="Arial" w:eastAsia="Arial" w:hAnsi="Arial"/>
                <w:b/>
                <w:bCs/>
                <w:color w:val="FFFFFF"/>
                <w:sz w:val="24"/>
                <w:szCs w:val="24"/>
              </w:rPr>
              <w:t xml:space="preserve">8.  </w:t>
            </w:r>
            <w:r>
              <w:rPr>
                <w:rFonts w:ascii="Arial" w:cs="Arial" w:eastAsia="Arial" w:hAnsi="Arial"/>
                <w:b/>
                <w:bCs/>
                <w:color w:val="FFFFFF"/>
                <w:sz w:val="32"/>
                <w:szCs w:val="32"/>
              </w:rPr>
              <w:t xml:space="preserve">Skill Analytics</w:t>
            </w:r>
          </w:p>
        </w:tc>
      </w:tr>
      <w:tr>
        <w:tc>
          <w:tcPr>
            <w:tcW w:type="dxa" w:w="9360"/>
            <w:tcBorders>
              <w:top w:val="single" w:color="B8CDDE" w:sz="1"/>
              <w:left w:val="single" w:color="B8CDDE" w:sz="1"/>
              <w:bottom w:val="single" w:color="B8CDDE" w:sz="1"/>
              <w:right w:val="single" w:color="B8CDDE" w:sz="1"/>
            </w:tcBorders>
            <w:shd w:fill="D2EEF4" w:val="clear"/>
            <w:tcMar>
              <w:top w:type="dxa" w:w="115"/>
              <w:left w:type="dxa" w:w="240"/>
              <w:bottom w:type="dxa" w:w="115"/>
              <w:right w:type="dxa" w:w="240"/>
            </w:tcMar>
          </w:tcPr>
          <w:p>
            <w:r>
              <w:rPr>
                <w:rFonts w:ascii="Arial" w:cs="Arial" w:eastAsia="Arial" w:hAnsi="Arial"/>
                <w:b/>
                <w:bCs/>
                <w:color w:val="0A4D5C"/>
                <w:sz w:val="21"/>
                <w:szCs w:val="21"/>
              </w:rPr>
              <w:t xml:space="preserve">Overview  </w:t>
            </w:r>
            <w:r>
              <w:rPr>
                <w:rFonts w:ascii="Arial" w:cs="Arial" w:eastAsia="Arial" w:hAnsi="Arial"/>
                <w:i/>
                <w:iCs/>
                <w:color w:val="162232"/>
                <w:sz w:val="21"/>
                <w:szCs w:val="21"/>
              </w:rPr>
              <w:t xml:space="preserve">The intelligence and insight layer of the entire Skill Development System — a multi-stakeholder analytics platform that transforms the vast evidence data generated across skill courses, assessments, gap analyses, and progress tracking into actionable institutional intelligence for curriculum improvement, individual support, and strategic planning.</w:t>
            </w:r>
          </w:p>
        </w:tc>
      </w:tr>
      <w:tr>
        <w:tc>
          <w:tcPr>
            <w:tcW w:type="dxa" w:w="9360"/>
            <w:tcBorders>
              <w:top w:val="single" w:color="B8CDDE" w:sz="1"/>
              <w:left w:val="single" w:color="B8CDDE" w:sz="1"/>
              <w:bottom w:val="single" w:color="B8CDDE" w:sz="1"/>
              <w:right w:val="single" w:color="B8CDDE" w:sz="1"/>
            </w:tcBorders>
            <w:shd w:fill="F2F5F9" w:val="clear"/>
            <w:tcMar>
              <w:top w:type="dxa" w:w="100"/>
              <w:left w:type="dxa" w:w="240"/>
              <w:bottom w:type="dxa" w:w="10"/>
              <w:right w:type="dxa" w:w="240"/>
            </w:tcMar>
          </w:tcPr>
          <w:p>
            <w:pPr>
              <w:spacing w:before="50" w:after="0"/>
            </w:pPr>
            <w:r>
              <w:rPr>
                <w:rFonts w:ascii="Arial" w:cs="Arial" w:eastAsia="Arial" w:hAnsi="Arial"/>
                <w:b/>
                <w:bCs/>
                <w:color w:val="0D6B7E"/>
                <w:sz w:val="21"/>
                <w:szCs w:val="21"/>
              </w:rPr>
              <w:t xml:space="preserve">Student-Level Skill Intelligence</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4D5C"/>
                <w:sz w:val="20"/>
                <w:szCs w:val="20"/>
              </w:rPr>
              <w:t xml:space="preserve">▸  </w:t>
            </w:r>
            <w:r>
              <w:rPr>
                <w:rFonts w:ascii="Arial" w:cs="Arial" w:eastAsia="Arial" w:hAnsi="Arial"/>
                <w:color w:val="162232"/>
                <w:sz w:val="20"/>
                <w:szCs w:val="20"/>
              </w:rPr>
              <w:t xml:space="preserve">Comprehensive skill profile report: for each student, a detailed analytics report covering — current proficiency levels across all tracked skill domains and sub-competencies, proficiency trajectory over the past 12 months, evidence volume and quality breakdown, gap analysis summary, certification achievements, leaderboard position history, and comparison against grade-level peers (anonymised).</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4D5C"/>
                <w:sz w:val="20"/>
                <w:szCs w:val="20"/>
              </w:rPr>
              <w:t xml:space="preserve">▸  </w:t>
            </w:r>
            <w:r>
              <w:rPr>
                <w:rFonts w:ascii="Arial" w:cs="Arial" w:eastAsia="Arial" w:hAnsi="Arial"/>
                <w:color w:val="162232"/>
                <w:sz w:val="20"/>
                <w:szCs w:val="20"/>
              </w:rPr>
              <w:t xml:space="preserve">Learning pattern analysis: identifies each student's skill acquisition patterns — which skill domains they develop fastest (potential strength areas), which they develop most slowly (likely challenge areas), preferred learning modalities for skill development (solitary practice vs. collaborative activity vs. competitive challenge), and optimal engagement times — enabling personalised facilitation strategies.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4D5C"/>
                <w:sz w:val="20"/>
                <w:szCs w:val="20"/>
              </w:rPr>
              <w:t xml:space="preserve">▸  </w:t>
            </w:r>
            <w:r>
              <w:rPr>
                <w:rFonts w:ascii="Arial" w:cs="Arial" w:eastAsia="Arial" w:hAnsi="Arial"/>
                <w:color w:val="162232"/>
                <w:sz w:val="20"/>
                <w:szCs w:val="20"/>
              </w:rPr>
              <w:t xml:space="preserve">Skill-academic performance correlation analysis: for each student, calculates the statistical correlation between their skill proficiency levels and their academic subject performance — e.g., students with higher Critical Thinking skill scores demonstrating stronger performance in Mathematics and Sciences — providing evidence-based insight into the skill-academic integration thesis.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4D5C"/>
                <w:sz w:val="20"/>
                <w:szCs w:val="20"/>
              </w:rPr>
              <w:t xml:space="preserve">▸  </w:t>
            </w:r>
            <w:r>
              <w:rPr>
                <w:rFonts w:ascii="Arial" w:cs="Arial" w:eastAsia="Arial" w:hAnsi="Arial"/>
                <w:color w:val="162232"/>
                <w:sz w:val="20"/>
                <w:szCs w:val="20"/>
              </w:rPr>
              <w:t xml:space="preserve">Predictive skill readiness modelling: using the student's current skill growth trajectory, the platform projects their expected skill profile at end-of-year and at graduation — generating a 'Skill Readiness Forecast' that identifies students at risk of falling below critical milestones and recommending pre-emptive interventions.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4D5C"/>
                <w:sz w:val="20"/>
                <w:szCs w:val="20"/>
              </w:rPr>
              <w:t xml:space="preserve">▸  </w:t>
            </w:r>
            <w:r>
              <w:rPr>
                <w:rFonts w:ascii="Arial" w:cs="Arial" w:eastAsia="Arial" w:hAnsi="Arial"/>
                <w:color w:val="162232"/>
                <w:sz w:val="20"/>
                <w:szCs w:val="20"/>
              </w:rPr>
              <w:t xml:space="preserve">Skill development ROI per activity type: analyses the number of measurable proficiency points gained per hour of engagement with each type of skill activity — ranking activities from most to least efficient for skill development — informing how students allocate their limited development time.</w:t>
            </w:r>
          </w:p>
        </w:tc>
      </w:tr>
      <w:tr>
        <w:tc>
          <w:tcPr>
            <w:tcW w:type="dxa" w:w="9360"/>
            <w:tcBorders>
              <w:top w:val="single" w:color="B8CDDE" w:sz="1"/>
              <w:left w:val="single" w:color="B8CDDE" w:sz="1"/>
              <w:bottom w:val="single" w:color="B8CDDE" w:sz="1"/>
              <w:right w:val="single" w:color="B8CDDE" w:sz="1"/>
            </w:tcBorders>
            <w:shd w:fill="F2F5F9" w:val="clear"/>
            <w:tcMar>
              <w:top w:type="dxa" w:w="100"/>
              <w:left w:type="dxa" w:w="240"/>
              <w:bottom w:type="dxa" w:w="10"/>
              <w:right w:type="dxa" w:w="240"/>
            </w:tcMar>
          </w:tcPr>
          <w:p>
            <w:pPr>
              <w:spacing w:before="50" w:after="0"/>
            </w:pPr>
            <w:r>
              <w:rPr>
                <w:rFonts w:ascii="Arial" w:cs="Arial" w:eastAsia="Arial" w:hAnsi="Arial"/>
                <w:b/>
                <w:bCs/>
                <w:color w:val="0D6B7E"/>
                <w:sz w:val="21"/>
                <w:szCs w:val="21"/>
              </w:rPr>
              <w:t xml:space="preserve">Class &amp; Cohort Analytics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4D5C"/>
                <w:sz w:val="20"/>
                <w:szCs w:val="20"/>
              </w:rPr>
              <w:t xml:space="preserve">▸  </w:t>
            </w:r>
            <w:r>
              <w:rPr>
                <w:rFonts w:ascii="Arial" w:cs="Arial" w:eastAsia="Arial" w:hAnsi="Arial"/>
                <w:color w:val="162232"/>
                <w:sz w:val="20"/>
                <w:szCs w:val="20"/>
              </w:rPr>
              <w:t xml:space="preserve">Class skill health dashboard: a real-time overview of the skill development status of an entire class — average proficiency per domain, class-wide gap analysis summary, certification issuance rate, engagement rate, and facilitator activity — updated daily as new evidence is processed.</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4D5C"/>
                <w:sz w:val="20"/>
                <w:szCs w:val="20"/>
              </w:rPr>
              <w:t xml:space="preserve">▸  </w:t>
            </w:r>
            <w:r>
              <w:rPr>
                <w:rFonts w:ascii="Arial" w:cs="Arial" w:eastAsia="Arial" w:hAnsi="Arial"/>
                <w:color w:val="162232"/>
                <w:sz w:val="20"/>
                <w:szCs w:val="20"/>
              </w:rPr>
              <w:t xml:space="preserve">Cohort progression benchmarking: tracks how well each cohort (year group) is developing skills relative to the target profile for their grade level — identifying cohorts performing significantly above or below expectation across specific skill domains.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4D5C"/>
                <w:sz w:val="20"/>
                <w:szCs w:val="20"/>
              </w:rPr>
              <w:t xml:space="preserve">▸  </w:t>
            </w:r>
            <w:r>
              <w:rPr>
                <w:rFonts w:ascii="Arial" w:cs="Arial" w:eastAsia="Arial" w:hAnsi="Arial"/>
                <w:color w:val="162232"/>
                <w:sz w:val="20"/>
                <w:szCs w:val="20"/>
              </w:rPr>
              <w:t xml:space="preserve">Inter-class and inter-section skill comparison: for schools with multiple sections of the same grade, a fair comparison (controlling for prior attainment and demographics) of skill development outcomes across sections — identifying exceptionally effective facilitation practices in high-performing sections for knowledge transfer.</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4D5C"/>
                <w:sz w:val="20"/>
                <w:szCs w:val="20"/>
              </w:rPr>
              <w:t xml:space="preserve">▸  </w:t>
            </w:r>
            <w:r>
              <w:rPr>
                <w:rFonts w:ascii="Arial" w:cs="Arial" w:eastAsia="Arial" w:hAnsi="Arial"/>
                <w:color w:val="162232"/>
                <w:sz w:val="20"/>
                <w:szCs w:val="20"/>
              </w:rPr>
              <w:t xml:space="preserve">Skill activity engagement funnel: visualises the engagement dropoff across the skill development journey — e.g., of students who enrol in a skill course, what percentage complete it, what percentage attempt the assessment, what percentage achieve certification — identifying where the programme loses students for targeted redesign.</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4D5C"/>
                <w:sz w:val="20"/>
                <w:szCs w:val="20"/>
              </w:rPr>
              <w:t xml:space="preserve">▸  </w:t>
            </w:r>
            <w:r>
              <w:rPr>
                <w:rFonts w:ascii="Arial" w:cs="Arial" w:eastAsia="Arial" w:hAnsi="Arial"/>
                <w:color w:val="162232"/>
                <w:sz w:val="20"/>
                <w:szCs w:val="20"/>
              </w:rPr>
              <w:t xml:space="preserve">Dojo-to-skill development impact: quantifies the impact of Dojo participation on skill development outcomes — students who engage in skill-relevant Dojo challenges demonstrate faster proficiency growth in corresponding skill domains — data presented per skill domain and Dojo category.</w:t>
            </w:r>
          </w:p>
        </w:tc>
      </w:tr>
      <w:tr>
        <w:tc>
          <w:tcPr>
            <w:tcW w:type="dxa" w:w="9360"/>
            <w:tcBorders>
              <w:top w:val="single" w:color="B8CDDE" w:sz="1"/>
              <w:left w:val="single" w:color="B8CDDE" w:sz="1"/>
              <w:bottom w:val="single" w:color="B8CDDE" w:sz="1"/>
              <w:right w:val="single" w:color="B8CDDE" w:sz="1"/>
            </w:tcBorders>
            <w:shd w:fill="F2F5F9" w:val="clear"/>
            <w:tcMar>
              <w:top w:type="dxa" w:w="100"/>
              <w:left w:type="dxa" w:w="240"/>
              <w:bottom w:type="dxa" w:w="10"/>
              <w:right w:type="dxa" w:w="240"/>
            </w:tcMar>
          </w:tcPr>
          <w:p>
            <w:pPr>
              <w:spacing w:before="50" w:after="0"/>
            </w:pPr>
            <w:r>
              <w:rPr>
                <w:rFonts w:ascii="Arial" w:cs="Arial" w:eastAsia="Arial" w:hAnsi="Arial"/>
                <w:b/>
                <w:bCs/>
                <w:color w:val="0D6B7E"/>
                <w:sz w:val="21"/>
                <w:szCs w:val="21"/>
              </w:rPr>
              <w:t xml:space="preserve">School &amp; Institutional Analytics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4D5C"/>
                <w:sz w:val="20"/>
                <w:szCs w:val="20"/>
              </w:rPr>
              <w:t xml:space="preserve">▸  </w:t>
            </w:r>
            <w:r>
              <w:rPr>
                <w:rFonts w:ascii="Arial" w:cs="Arial" w:eastAsia="Arial" w:hAnsi="Arial"/>
                <w:color w:val="162232"/>
                <w:sz w:val="20"/>
                <w:szCs w:val="20"/>
              </w:rPr>
              <w:t xml:space="preserve">School skill maturity index: a composite institutional metric assessing the school's skill development programme maturity across five dimensions — Curriculum Breadth (range of skills addressed), Assessment Quality (rigour and authenticity of skill assessments), Student Engagement (participation rates and depth), Outcome Achievement (certification rates and proficiency gains), and Industry Alignment (mapping to contemporary skill demands) — scored 0–100 with national percentile ranking.</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4D5C"/>
                <w:sz w:val="20"/>
                <w:szCs w:val="20"/>
              </w:rPr>
              <w:t xml:space="preserve">▸  </w:t>
            </w:r>
            <w:r>
              <w:rPr>
                <w:rFonts w:ascii="Arial" w:cs="Arial" w:eastAsia="Arial" w:hAnsi="Arial"/>
                <w:color w:val="162232"/>
                <w:sz w:val="20"/>
                <w:szCs w:val="20"/>
              </w:rPr>
              <w:t xml:space="preserve">Year-over-year programme effectiveness report: compares school-wide skill development outcomes across academic years — tracking whether cohorts are graduating with progressively stronger skill profiles, whether gender gaps are narrowing, and whether specific skill domains are showing sustained improvement in response to curriculum interventions.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4D5C"/>
                <w:sz w:val="20"/>
                <w:szCs w:val="20"/>
              </w:rPr>
              <w:t xml:space="preserve">▸  </w:t>
            </w:r>
            <w:r>
              <w:rPr>
                <w:rFonts w:ascii="Arial" w:cs="Arial" w:eastAsia="Arial" w:hAnsi="Arial"/>
                <w:color w:val="162232"/>
                <w:sz w:val="20"/>
                <w:szCs w:val="20"/>
              </w:rPr>
              <w:t xml:space="preserve">Skill programme cost-effectiveness analysis: for school leaders monitoring ROI of the skill development investment — calculates the average skill development points earned per student per hour of programme time and per rupee of programme cost — enabling evidence-based decisions about skill programme resource allocation.</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4D5C"/>
                <w:sz w:val="20"/>
                <w:szCs w:val="20"/>
              </w:rPr>
              <w:t xml:space="preserve">▸  </w:t>
            </w:r>
            <w:r>
              <w:rPr>
                <w:rFonts w:ascii="Arial" w:cs="Arial" w:eastAsia="Arial" w:hAnsi="Arial"/>
                <w:color w:val="162232"/>
                <w:sz w:val="20"/>
                <w:szCs w:val="20"/>
              </w:rPr>
              <w:t xml:space="preserve">Skill data for accreditation and inspection: generates NAAC, ISO 21001, and board-inspection-ready analytics reports — formatted documentation of the school's skill development framework, assessment practices, student achievement data, and continuous improvement evidence — reducing the administrative burden of accreditation preparation.</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4D5C"/>
                <w:sz w:val="20"/>
                <w:szCs w:val="20"/>
              </w:rPr>
              <w:t xml:space="preserve">▸  </w:t>
            </w:r>
            <w:r>
              <w:rPr>
                <w:rFonts w:ascii="Arial" w:cs="Arial" w:eastAsia="Arial" w:hAnsi="Arial"/>
                <w:color w:val="162232"/>
                <w:sz w:val="20"/>
                <w:szCs w:val="20"/>
              </w:rPr>
              <w:t xml:space="preserve">Comparative school network benchmarking: for multi-school chains or trusts, a cross-school analytics view comparing skill development programme performance across all network schools — identifying star performers whose practices should be scaled and schools needing network-level support.</w:t>
            </w:r>
          </w:p>
        </w:tc>
      </w:tr>
      <w:tr>
        <w:tc>
          <w:tcPr>
            <w:tcW w:type="dxa" w:w="9360"/>
            <w:tcBorders>
              <w:top w:val="single" w:color="B8CDDE" w:sz="1"/>
              <w:left w:val="single" w:color="B8CDDE" w:sz="1"/>
              <w:bottom w:val="single" w:color="B8CDDE" w:sz="1"/>
              <w:right w:val="single" w:color="B8CDDE" w:sz="1"/>
            </w:tcBorders>
            <w:shd w:fill="F2F5F9" w:val="clear"/>
            <w:tcMar>
              <w:top w:type="dxa" w:w="100"/>
              <w:left w:type="dxa" w:w="240"/>
              <w:bottom w:type="dxa" w:w="10"/>
              <w:right w:type="dxa" w:w="240"/>
            </w:tcMar>
          </w:tcPr>
          <w:p>
            <w:pPr>
              <w:spacing w:before="50" w:after="0"/>
            </w:pPr>
            <w:r>
              <w:rPr>
                <w:rFonts w:ascii="Arial" w:cs="Arial" w:eastAsia="Arial" w:hAnsi="Arial"/>
                <w:b/>
                <w:bCs/>
                <w:color w:val="0D6B7E"/>
                <w:sz w:val="21"/>
                <w:szCs w:val="21"/>
              </w:rPr>
              <w:t xml:space="preserve">Predictive Analytics &amp; Programme Optimisation</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4D5C"/>
                <w:sz w:val="20"/>
                <w:szCs w:val="20"/>
              </w:rPr>
              <w:t xml:space="preserve">▸  </w:t>
            </w:r>
            <w:r>
              <w:rPr>
                <w:rFonts w:ascii="Arial" w:cs="Arial" w:eastAsia="Arial" w:hAnsi="Arial"/>
                <w:color w:val="162232"/>
                <w:sz w:val="20"/>
                <w:szCs w:val="20"/>
              </w:rPr>
              <w:t xml:space="preserve">Curriculum effectiveness prediction model: using historical data from the platform's network of schools, a predictive model identifies which skill course design features, facilitation approaches, and assessment configurations are most predictive of strong student skill development outcomes — informing evidence-based curriculum design decisions.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4D5C"/>
                <w:sz w:val="20"/>
                <w:szCs w:val="20"/>
              </w:rPr>
              <w:t xml:space="preserve">▸  </w:t>
            </w:r>
            <w:r>
              <w:rPr>
                <w:rFonts w:ascii="Arial" w:cs="Arial" w:eastAsia="Arial" w:hAnsi="Arial"/>
                <w:color w:val="162232"/>
                <w:sz w:val="20"/>
                <w:szCs w:val="20"/>
              </w:rPr>
              <w:t xml:space="preserve">Early warning system for skill disengagement: machine learning model that identifies students at elevated risk of dropping out of the skill development programme entirely — based on patterns of declining engagement, increasing gap magnitude, and reducing evidence submission — triggering human intervention before the disengagement becomes entrenched.</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4D5C"/>
                <w:sz w:val="20"/>
                <w:szCs w:val="20"/>
              </w:rPr>
              <w:t xml:space="preserve">▸  </w:t>
            </w:r>
            <w:r>
              <w:rPr>
                <w:rFonts w:ascii="Arial" w:cs="Arial" w:eastAsia="Arial" w:hAnsi="Arial"/>
                <w:color w:val="162232"/>
                <w:sz w:val="20"/>
                <w:szCs w:val="20"/>
              </w:rPr>
              <w:t xml:space="preserve">Skill supply-demand forecasting: analyses the skill development outcomes being produced by the school against projected labour market demand in the school's region over the next 5–10 years — identifying whether the school's skill programme is producing the right mix of competencies for the future economy its students will enter.</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4D5C"/>
                <w:sz w:val="20"/>
                <w:szCs w:val="20"/>
              </w:rPr>
              <w:t xml:space="preserve">▸  </w:t>
            </w:r>
            <w:r>
              <w:rPr>
                <w:rFonts w:ascii="Arial" w:cs="Arial" w:eastAsia="Arial" w:hAnsi="Arial"/>
                <w:color w:val="162232"/>
                <w:sz w:val="20"/>
                <w:szCs w:val="20"/>
              </w:rPr>
              <w:t xml:space="preserve">Personalised facilitator coaching recommendations: analyses each skill facilitator's effectiveness data — identifying specific facilitation practices associated with stronger student outcomes in their context — and generates personalised professional development recommendations for each facilitator, targeted to their specific areas of opportunity rather than generic CPD suggestions.</w:t>
            </w:r>
          </w:p>
        </w:tc>
      </w:tr>
      <w:tr>
        <w:tc>
          <w:tcPr>
            <w:tcW w:type="dxa" w:w="9360"/>
            <w:tcBorders>
              <w:top w:val="single" w:color="B8CDDE" w:sz="1"/>
              <w:left w:val="single" w:color="B8CDDE" w:sz="1"/>
              <w:bottom w:val="single" w:color="B8CDDE" w:sz="1"/>
              <w:right w:val="single" w:color="B8CDDE" w:sz="1"/>
            </w:tcBorders>
            <w:shd w:fill="FFFFFF" w:val="clear"/>
            <w:tcMar>
              <w:top w:type="dxa" w:w="65"/>
              <w:left w:type="dxa" w:w="400"/>
              <w:bottom w:type="dxa" w:w="65"/>
              <w:right w:type="dxa" w:w="240"/>
            </w:tcMar>
          </w:tcPr>
          <w:p>
            <w:pPr>
              <w:spacing w:before="30" w:after="30"/>
            </w:pPr>
            <w:r>
              <w:rPr>
                <w:rFonts w:ascii="Arial" w:cs="Arial" w:eastAsia="Arial" w:hAnsi="Arial"/>
                <w:color w:val="0A4D5C"/>
                <w:sz w:val="20"/>
                <w:szCs w:val="20"/>
              </w:rPr>
              <w:t xml:space="preserve">▸  </w:t>
            </w:r>
            <w:r>
              <w:rPr>
                <w:rFonts w:ascii="Arial" w:cs="Arial" w:eastAsia="Arial" w:hAnsi="Arial"/>
                <w:color w:val="162232"/>
                <w:sz w:val="20"/>
                <w:szCs w:val="20"/>
              </w:rPr>
              <w:t xml:space="preserve">Skill analytics API: all skill analytics data is available through a documented API — enabling schools, network administrators, and third-party research partners to extract aggregate (non-personally-identifiable) skill development data for policy research, programme evaluation, and educational innovation purposes.</w:t>
            </w:r>
          </w:p>
        </w:tc>
      </w:tr>
    </w:tbl>
    <w:p>
      <w:pPr>
        <w:spacing w:before="260" w:after="0"/>
      </w:pPr>
      <w:r>
        <w:t xml:space="preserve"/>
      </w:r>
    </w:p>
    <w:p>
      <w:r>
        <w:br w:type="page"/>
      </w:r>
    </w:p>
    <w:p>
      <w:pPr>
        <w:pBdr>
          <w:top w:val="single" w:color="0D3B6E" w:sz="6" w:space="6"/>
        </w:pBdr>
        <w:spacing w:before="240" w:after="120"/>
        <w:jc w:val="center"/>
      </w:pPr>
      <w:r>
        <w:rPr>
          <w:rFonts w:ascii="Arial" w:cs="Arial" w:eastAsia="Arial" w:hAnsi="Arial"/>
          <w:b/>
          <w:bCs/>
          <w:color w:val="0D3B6E"/>
          <w:sz w:val="18"/>
          <w:szCs w:val="18"/>
        </w:rPr>
        <w:t xml:space="preserve">CONFIDENTIAL — For Internal Use Only</w:t>
      </w:r>
    </w:p>
    <w:p>
      <w:pPr>
        <w:jc w:val="center"/>
      </w:pPr>
      <w:r>
        <w:rPr>
          <w:rFonts w:ascii="Arial" w:cs="Arial" w:eastAsia="Arial" w:hAnsi="Arial"/>
          <w:color w:val="52657A"/>
          <w:sz w:val="18"/>
          <w:szCs w:val="18"/>
        </w:rPr>
        <w:t xml:space="preserve">This document describes planned product features and is subject to change without notice. © 2026 School Management Platform.</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3B6E" w:sz="4" w:space="4"/>
      </w:pBdr>
      <w:tabs>
        <w:tab w:val="right" w:pos="9026"/>
      </w:tabs>
      <w:spacing w:before="80"/>
    </w:pPr>
    <w:r>
      <w:rPr>
        <w:rFonts w:ascii="Arial" w:cs="Arial" w:eastAsia="Arial" w:hAnsi="Arial"/>
        <w:color w:val="52657A"/>
        <w:sz w:val="18"/>
        <w:szCs w:val="18"/>
      </w:rPr>
      <w:t xml:space="preserve">Confidential</w:t>
    </w:r>
    <w:r>
      <w:rPr>
        <w:rFonts w:ascii="Arial" w:cs="Arial" w:eastAsia="Arial" w:hAnsi="Arial"/>
        <w:color w:val="52657A"/>
        <w:sz w:val="18"/>
        <w:szCs w:val="18"/>
      </w:rPr>
      <w:t xml:space="preserve">	Page </w:t>
    </w:r>
    <w:r>
      <w:rPr>
        <w:rFonts w:ascii="Arial" w:cs="Arial" w:eastAsia="Arial" w:hAnsi="Arial"/>
        <w:color w:val="0D3B6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3B6E" w:sz="4" w:space="4"/>
      </w:pBdr>
      <w:spacing w:after="80"/>
    </w:pPr>
    <w:r>
      <w:rPr>
        <w:rFonts w:ascii="Arial" w:cs="Arial" w:eastAsia="Arial" w:hAnsi="Arial"/>
        <w:color w:val="52657A"/>
        <w:sz w:val="18"/>
        <w:szCs w:val="18"/>
      </w:rPr>
      <w:t xml:space="preserve">School Management Platform  |  Module F: Skill Development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223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2026-03-09T08:14:45.233Z</dcterms:created>
  <dcterms:modified xsi:type="dcterms:W3CDTF">2026-03-09T08:14:45.233Z</dcterms:modified>
</cp:coreProperties>
</file>

<file path=docProps/custom.xml><?xml version="1.0" encoding="utf-8"?>
<Properties xmlns="http://schemas.openxmlformats.org/officeDocument/2006/custom-properties" xmlns:vt="http://schemas.openxmlformats.org/officeDocument/2006/docPropsVTypes"/>
</file>