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20"/>
        <w:jc w:val="center"/>
      </w:pPr>
      <w:r>
        <w:rPr>
          <w:rFonts w:ascii="Arial" w:cs="Arial" w:eastAsia="Arial" w:hAnsi="Arial"/>
          <w:b/>
          <w:bCs/>
          <w:color w:val="1B3A6B"/>
          <w:sz w:val="78"/>
          <w:szCs w:val="78"/>
        </w:rPr>
        <w:t xml:space="preserve">D. TEACHER / FACULTY</w:t>
      </w:r>
    </w:p>
    <w:p>
      <w:pPr>
        <w:spacing w:before="0" w:after="180"/>
        <w:jc w:val="center"/>
      </w:pPr>
      <w:r>
        <w:rPr>
          <w:rFonts w:ascii="Arial" w:cs="Arial" w:eastAsia="Arial" w:hAnsi="Arial"/>
          <w:b/>
          <w:bCs/>
          <w:color w:val="7B3FA0"/>
          <w:sz w:val="78"/>
          <w:szCs w:val="78"/>
        </w:rPr>
        <w:t xml:space="preserve">MANAGEMENT</w:t>
      </w:r>
    </w:p>
    <w:p>
      <w:pPr>
        <w:spacing w:before="80" w:after="200"/>
        <w:jc w:val="center"/>
      </w:pPr>
      <w:r>
        <w:rPr>
          <w:rFonts w:ascii="Arial" w:cs="Arial" w:eastAsia="Arial" w:hAnsi="Arial"/>
          <w:color w:val="4A4A4A"/>
          <w:sz w:val="38"/>
          <w:szCs w:val="38"/>
        </w:rPr>
        <w:t xml:space="preserve">Feature Specification Document</w:t>
      </w:r>
    </w:p>
    <w:p>
      <w:pPr>
        <w:spacing w:before="0" w:after="120"/>
        <w:jc w:val="center"/>
      </w:pPr>
      <w:r>
        <w:rPr>
          <w:rFonts w:ascii="Arial" w:cs="Arial" w:eastAsia="Arial" w:hAnsi="Arial"/>
          <w:i/>
          <w:iCs/>
          <w:color w:val="888888"/>
          <w:sz w:val="26"/>
          <w:szCs w:val="26"/>
        </w:rPr>
        <w:t xml:space="preserve">In-Depth Description of All Twelve Core Features</w:t>
      </w:r>
    </w:p>
    <w:p>
      <w:pPr>
        <w:pBdr>
          <w:top w:val="single" w:color="1B3A6B" w:sz="8" w:space="4"/>
        </w:pBdr>
        <w:spacing w:before="800" w:after="0"/>
        <w:jc w:val="center"/>
      </w:pPr>
      <w:r>
        <w:rPr>
          <w:rFonts w:ascii="Arial" w:cs="Arial" w:eastAsia="Arial" w:hAnsi="Arial"/>
          <w:color w:val="AAAAAA"/>
          <w:sz w:val="22"/>
          <w:szCs w:val="22"/>
        </w:rPr>
        <w:t xml:space="preserve">EcoSkiller Platform  |  Version 1.0</w:t>
      </w:r>
    </w:p>
    <w:p>
      <w:r>
        <w:br w:type="page"/>
      </w:r>
    </w:p>
    <w:p>
      <w:pPr>
        <w:pStyle w:val="Heading1"/>
        <w:pBdr>
          <w:bottom w:val="single" w:color="1B3A6B" w:sz="12" w:space="5"/>
        </w:pBdr>
        <w:spacing w:before="480" w:after="200"/>
      </w:pPr>
      <w:r>
        <w:rPr>
          <w:rFonts w:ascii="Arial" w:cs="Arial" w:eastAsia="Arial" w:hAnsi="Arial"/>
          <w:b/>
          <w:bCs/>
          <w:color w:val="1B3A6B"/>
          <w:sz w:val="38"/>
          <w:szCs w:val="38"/>
        </w:rPr>
        <w:t xml:space="preserve">Feature 1: Teacher Onboarding</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1.1 Overview</w:t>
      </w:r>
    </w:p>
    <w:p>
      <w:pPr>
        <w:spacing w:before="80" w:after="80"/>
      </w:pPr>
      <w:r>
        <w:rPr>
          <w:rFonts w:ascii="Arial" w:cs="Arial" w:eastAsia="Arial" w:hAnsi="Arial"/>
          <w:color w:val="1A1A1A"/>
          <w:sz w:val="22"/>
          <w:szCs w:val="22"/>
        </w:rPr>
        <w:t xml:space="preserve">Teacher Onboarding is the structured, end-to-end process through which new faculty members are registered, verified, configured, and activated on the EcoSkiller platform. It replaces ad-hoc, paper-based induction processes with a digitised, trackable, and role-specific workflow that ensures every teacher is fully equipped and credentialed before they interact with students or receive any subject or class assignments. The onboarding process is designed to be completed primarily by the teacher themselves with guided assistance, minimising administrative burden on institute staff while maintaining rigorous verification standards.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1.2 Onboarding Workflow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060"/>
        <w:gridCol w:w="2400"/>
      </w:tblGrid>
      <w:tr>
        <w:trPr>
          <w:tblHeader/>
        </w:trPr>
        <w:tc>
          <w:tcPr>
            <w:tcW w:type="dxa" w:w="5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t>
            </w:r>
          </w:p>
        </w:tc>
        <w:tc>
          <w:tcPr>
            <w:tcW w:type="dxa" w:w="24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Stage</w:t>
            </w:r>
          </w:p>
        </w:tc>
        <w:tc>
          <w:tcPr>
            <w:tcW w:type="dxa" w:w="406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Activities</w:t>
            </w:r>
          </w:p>
        </w:tc>
        <w:tc>
          <w:tcPr>
            <w:tcW w:type="dxa" w:w="24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Completion Trigger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Invitation &amp; Account Creation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Institute admin sends invite link; teacher registers with institutional email; two-factor authentication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Account activated</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Identity Verification</w:t>
            </w:r>
          </w:p>
        </w:tc>
        <w:tc>
          <w:tcPr>
            <w:tcW w:type="dxa" w:w="40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Government ID upload (Aadhaar/Passport); selfie-based liveness check; institute employee ID confirmation</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KYC status: Verified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Credential Submission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Degree certificates, mark sheets, teaching certificates, PG/PhD documentation uploaded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mandatory documents received</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Credential Validation</w:t>
            </w:r>
          </w:p>
        </w:tc>
        <w:tc>
          <w:tcPr>
            <w:tcW w:type="dxa" w:w="40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Platform validates documents against issuer databases; flags discrepancies for manual review; approval by institute admin</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Credentials: Approved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Profile Completion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Teacher fills personal details, subject expertise, teaching experience, and availability preferences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Profile completeness &gt;85%</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Platform Orientation</w:t>
            </w:r>
          </w:p>
        </w:tc>
        <w:tc>
          <w:tcPr>
            <w:tcW w:type="dxa" w:w="40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Mandatory onboarding modules: platform navigation, student management tools, grading system, communication tools</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Orientation quiz passed (&gt;70%)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Role Configuration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Admin assigns department, role type (full-time/visiting/adjunct), reporting manager, and system access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Role activated in system</w:t>
            </w:r>
          </w:p>
        </w:tc>
      </w:tr>
      <w:tr>
        <w:tc>
          <w:tcPr>
            <w:tcW w:type="dxa" w:w="5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First Assignment</w:t>
            </w:r>
          </w:p>
        </w:tc>
        <w:tc>
          <w:tcPr>
            <w:tcW w:type="dxa" w:w="40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Teacher receives first subject/class allocation; reviews timetable; confirms acceptance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First session scheduled</w:t>
            </w:r>
          </w:p>
        </w:tc>
      </w:tr>
    </w:tbl>
    <w:p>
      <w:pPr>
        <w:spacing w:before="40" w:after="40"/>
      </w:pPr>
      <w:r>
        <w:t xml:space="preserve"/>
      </w:r>
    </w:p>
    <w:p>
      <w:pPr>
        <w:pStyle w:val="Heading2"/>
        <w:spacing w:before="300" w:after="120"/>
      </w:pPr>
      <w:r>
        <w:rPr>
          <w:rFonts w:ascii="Arial" w:cs="Arial" w:eastAsia="Arial" w:hAnsi="Arial"/>
          <w:b/>
          <w:bCs/>
          <w:color w:val="2563A8"/>
          <w:sz w:val="28"/>
          <w:szCs w:val="28"/>
        </w:rPr>
        <w:t xml:space="preserve">1.3 Document Collection &amp; Verification</w:t>
      </w:r>
    </w:p>
    <w:p>
      <w:pPr>
        <w:spacing w:before="220" w:after="80"/>
      </w:pPr>
      <w:r>
        <w:rPr>
          <w:rFonts w:ascii="Arial" w:cs="Arial" w:eastAsia="Arial" w:hAnsi="Arial"/>
          <w:b/>
          <w:bCs/>
          <w:color w:val="7B3FA0"/>
          <w:sz w:val="24"/>
          <w:szCs w:val="24"/>
        </w:rPr>
        <w:t xml:space="preserve">1.3.1 Mandatory Documents</w:t>
      </w:r>
    </w:p>
    <w:p>
      <w:pPr>
        <w:pStyle w:val="ListParagraph"/>
        <w:numPr>
          <w:ilvl w:val="0"/>
          <w:numId w:val="2"/>
        </w:numPr>
        <w:spacing w:before="60" w:after="60"/>
      </w:pPr>
      <w:r>
        <w:rPr>
          <w:rFonts w:ascii="Arial" w:cs="Arial" w:eastAsia="Arial" w:hAnsi="Arial"/>
          <w:b w:val="false"/>
          <w:bCs w:val="false"/>
          <w:color w:val="1A1A1A"/>
          <w:sz w:val="22"/>
          <w:szCs w:val="22"/>
        </w:rPr>
        <w:t xml:space="preserve">Government-issued photo identity proof (Aadhaar card, Passport, or Voter ID)</w:t>
      </w:r>
    </w:p>
    <w:p>
      <w:pPr>
        <w:pStyle w:val="ListParagraph"/>
        <w:numPr>
          <w:ilvl w:val="0"/>
          <w:numId w:val="2"/>
        </w:numPr>
        <w:spacing w:before="60" w:after="60"/>
      </w:pPr>
      <w:r>
        <w:rPr>
          <w:rFonts w:ascii="Arial" w:cs="Arial" w:eastAsia="Arial" w:hAnsi="Arial"/>
          <w:b w:val="false"/>
          <w:bCs w:val="false"/>
          <w:color w:val="1A1A1A"/>
          <w:sz w:val="22"/>
          <w:szCs w:val="22"/>
        </w:rPr>
        <w:t xml:space="preserve">Highest academic qualification certificate and mark sheets (UG, PG, or PhD as applicable)</w:t>
      </w:r>
    </w:p>
    <w:p>
      <w:pPr>
        <w:pStyle w:val="ListParagraph"/>
        <w:numPr>
          <w:ilvl w:val="0"/>
          <w:numId w:val="2"/>
        </w:numPr>
        <w:spacing w:before="60" w:after="60"/>
      </w:pPr>
      <w:r>
        <w:rPr>
          <w:rFonts w:ascii="Arial" w:cs="Arial" w:eastAsia="Arial" w:hAnsi="Arial"/>
          <w:b w:val="false"/>
          <w:bCs w:val="false"/>
          <w:color w:val="1A1A1A"/>
          <w:sz w:val="22"/>
          <w:szCs w:val="22"/>
        </w:rPr>
        <w:t xml:space="preserve">Teaching experience certificates from previous institutions with duration and role confirmation</w:t>
      </w:r>
    </w:p>
    <w:p>
      <w:pPr>
        <w:pStyle w:val="ListParagraph"/>
        <w:numPr>
          <w:ilvl w:val="0"/>
          <w:numId w:val="2"/>
        </w:numPr>
        <w:spacing w:before="60" w:after="60"/>
      </w:pPr>
      <w:r>
        <w:rPr>
          <w:rFonts w:ascii="Arial" w:cs="Arial" w:eastAsia="Arial" w:hAnsi="Arial"/>
          <w:b w:val="false"/>
          <w:bCs w:val="false"/>
          <w:color w:val="1A1A1A"/>
          <w:sz w:val="22"/>
          <w:szCs w:val="22"/>
        </w:rPr>
        <w:t xml:space="preserve">Institute appointment/offer letter or contract for current position</w:t>
      </w:r>
    </w:p>
    <w:p>
      <w:pPr>
        <w:pStyle w:val="ListParagraph"/>
        <w:numPr>
          <w:ilvl w:val="0"/>
          <w:numId w:val="2"/>
        </w:numPr>
        <w:spacing w:before="60" w:after="60"/>
      </w:pPr>
      <w:r>
        <w:rPr>
          <w:rFonts w:ascii="Arial" w:cs="Arial" w:eastAsia="Arial" w:hAnsi="Arial"/>
          <w:b w:val="false"/>
          <w:bCs w:val="false"/>
          <w:color w:val="1A1A1A"/>
          <w:sz w:val="22"/>
          <w:szCs w:val="22"/>
        </w:rPr>
        <w:t xml:space="preserve">PAN card or equivalent tax identification document</w:t>
      </w:r>
    </w:p>
    <w:p>
      <w:pPr>
        <w:pStyle w:val="ListParagraph"/>
        <w:numPr>
          <w:ilvl w:val="0"/>
          <w:numId w:val="2"/>
        </w:numPr>
        <w:spacing w:before="60" w:after="60"/>
      </w:pPr>
      <w:r>
        <w:rPr>
          <w:rFonts w:ascii="Arial" w:cs="Arial" w:eastAsia="Arial" w:hAnsi="Arial"/>
          <w:b w:val="false"/>
          <w:bCs w:val="false"/>
          <w:color w:val="1A1A1A"/>
          <w:sz w:val="22"/>
          <w:szCs w:val="22"/>
        </w:rPr>
        <w:t xml:space="preserve">UGC NET/SET/SLET qualification certificate (for higher education faculty)</w:t>
      </w:r>
    </w:p>
    <w:p>
      <w:pPr>
        <w:pStyle w:val="ListParagraph"/>
        <w:numPr>
          <w:ilvl w:val="0"/>
          <w:numId w:val="2"/>
        </w:numPr>
        <w:spacing w:before="60" w:after="60"/>
      </w:pPr>
      <w:r>
        <w:rPr>
          <w:rFonts w:ascii="Arial" w:cs="Arial" w:eastAsia="Arial" w:hAnsi="Arial"/>
          <w:b w:val="false"/>
          <w:bCs w:val="false"/>
          <w:color w:val="1A1A1A"/>
          <w:sz w:val="22"/>
          <w:szCs w:val="22"/>
        </w:rPr>
        <w:t xml:space="preserve">Passport-size photograph and digital signature for profile and official documents</w:t>
      </w:r>
    </w:p>
    <w:p>
      <w:pPr>
        <w:spacing w:before="40" w:after="40"/>
      </w:pPr>
      <w:r>
        <w:t xml:space="preserve"/>
      </w:r>
    </w:p>
    <w:p>
      <w:pPr>
        <w:spacing w:before="220" w:after="80"/>
      </w:pPr>
      <w:r>
        <w:rPr>
          <w:rFonts w:ascii="Arial" w:cs="Arial" w:eastAsia="Arial" w:hAnsi="Arial"/>
          <w:b/>
          <w:bCs/>
          <w:color w:val="7B3FA0"/>
          <w:sz w:val="24"/>
          <w:szCs w:val="24"/>
        </w:rPr>
        <w:t xml:space="preserve">1.3.2 Optional but Recommended Documents</w:t>
      </w:r>
    </w:p>
    <w:p>
      <w:pPr>
        <w:pStyle w:val="ListParagraph"/>
        <w:numPr>
          <w:ilvl w:val="0"/>
          <w:numId w:val="2"/>
        </w:numPr>
        <w:spacing w:before="60" w:after="60"/>
      </w:pPr>
      <w:r>
        <w:rPr>
          <w:rFonts w:ascii="Arial" w:cs="Arial" w:eastAsia="Arial" w:hAnsi="Arial"/>
          <w:b w:val="false"/>
          <w:bCs w:val="false"/>
          <w:color w:val="1A1A1A"/>
          <w:sz w:val="22"/>
          <w:szCs w:val="22"/>
        </w:rPr>
        <w:t xml:space="preserve">Industry certifications or specialisation credentials (NPTEL, Coursera, AWS, etc.)</w:t>
      </w:r>
    </w:p>
    <w:p>
      <w:pPr>
        <w:pStyle w:val="ListParagraph"/>
        <w:numPr>
          <w:ilvl w:val="0"/>
          <w:numId w:val="2"/>
        </w:numPr>
        <w:spacing w:before="60" w:after="60"/>
      </w:pPr>
      <w:r>
        <w:rPr>
          <w:rFonts w:ascii="Arial" w:cs="Arial" w:eastAsia="Arial" w:hAnsi="Arial"/>
          <w:b w:val="false"/>
          <w:bCs w:val="false"/>
          <w:color w:val="1A1A1A"/>
          <w:sz w:val="22"/>
          <w:szCs w:val="22"/>
        </w:rPr>
        <w:t xml:space="preserve">Research publications list or Google Scholar profile link</w:t>
      </w:r>
    </w:p>
    <w:p>
      <w:pPr>
        <w:pStyle w:val="ListParagraph"/>
        <w:numPr>
          <w:ilvl w:val="0"/>
          <w:numId w:val="2"/>
        </w:numPr>
        <w:spacing w:before="60" w:after="60"/>
      </w:pPr>
      <w:r>
        <w:rPr>
          <w:rFonts w:ascii="Arial" w:cs="Arial" w:eastAsia="Arial" w:hAnsi="Arial"/>
          <w:b w:val="false"/>
          <w:bCs w:val="false"/>
          <w:color w:val="1A1A1A"/>
          <w:sz w:val="22"/>
          <w:szCs w:val="22"/>
        </w:rPr>
        <w:t xml:space="preserve">No Objection Certificate (NOC) from previous institution if joining mid-academic year</w:t>
      </w:r>
    </w:p>
    <w:p>
      <w:pPr>
        <w:pStyle w:val="ListParagraph"/>
        <w:numPr>
          <w:ilvl w:val="0"/>
          <w:numId w:val="2"/>
        </w:numPr>
        <w:spacing w:before="60" w:after="60"/>
      </w:pPr>
      <w:r>
        <w:rPr>
          <w:rFonts w:ascii="Arial" w:cs="Arial" w:eastAsia="Arial" w:hAnsi="Arial"/>
          <w:b w:val="false"/>
          <w:bCs w:val="false"/>
          <w:color w:val="1A1A1A"/>
          <w:sz w:val="22"/>
          <w:szCs w:val="22"/>
        </w:rPr>
        <w:t xml:space="preserve">Medical fitness certificate (for institutions with specific health compliance requirements)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1.4 Onboarding Status Tracking</w:t>
      </w:r>
    </w:p>
    <w:p>
      <w:pPr>
        <w:spacing w:before="80" w:after="80"/>
      </w:pPr>
      <w:r>
        <w:rPr>
          <w:rFonts w:ascii="Arial" w:cs="Arial" w:eastAsia="Arial" w:hAnsi="Arial"/>
          <w:color w:val="1A1A1A"/>
          <w:sz w:val="22"/>
          <w:szCs w:val="22"/>
        </w:rPr>
        <w:t xml:space="preserve">Institute administrators have a real-time onboarding progress dashboard showing every teacher's current stage, completion percentage, and any pending actions. Automated reminders are sent to teachers who have been inactive in their onboarding for more than 48 hours. Teachers who fail to complete onboarding within the configured deadline (typically 7 days) are automatically flagged for admin follow-up. A full audit log of every onboarding action, document submission, and approval decision is maintained for compliance purposes.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1.5 Role-Specific Onboarding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Full-Time Faculty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Complete 8-stage process; full credential validation; platform orientation; permanent role configuration; access to all faculty features</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Visiting / Guest Faculty</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Abbreviated 5-stage process; simplified credential check; access limited to assigned subjects and communication tools; automatic account expiry at end of engagement period</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Industry Expert / Practitioner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3-stage process; identity verification + expertise confirmation; limited access configured for specific sessions or modules only</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Adjunct Faculty</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6-stage process; qualification and experience verification; part-time schedule configuration; access controls appropriate to adjunct responsibilities</w:t>
            </w:r>
          </w:p>
        </w:tc>
      </w:tr>
    </w:tbl>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2: Teacher Profile Management</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2.1 Overview</w:t>
      </w:r>
    </w:p>
    <w:p>
      <w:pPr>
        <w:spacing w:before="80" w:after="80"/>
      </w:pPr>
      <w:r>
        <w:rPr>
          <w:rFonts w:ascii="Arial" w:cs="Arial" w:eastAsia="Arial" w:hAnsi="Arial"/>
          <w:color w:val="1A1A1A"/>
          <w:sz w:val="22"/>
          <w:szCs w:val="22"/>
        </w:rPr>
        <w:t xml:space="preserve">Teacher Profile Management is the comprehensive digital identity and capability record system for every faculty member on the platform. A teacher's profile is a living document — continuously updated as they teach, complete certifications, publish research, receive evaluations, and accumulate professional development hours. It serves as the single source of truth for all faculty-related decisions: subject allocation, workload management, mentorship assignments, and professional development planning. The profile is accessible to the teacher themselves, their department head, and institute administrators at defined permission levels.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2.2 Profile Structure</w:t>
      </w:r>
    </w:p>
    <w:p>
      <w:pPr>
        <w:spacing w:before="220" w:after="80"/>
      </w:pPr>
      <w:r>
        <w:rPr>
          <w:rFonts w:ascii="Arial" w:cs="Arial" w:eastAsia="Arial" w:hAnsi="Arial"/>
          <w:b/>
          <w:bCs/>
          <w:color w:val="7B3FA0"/>
          <w:sz w:val="24"/>
          <w:szCs w:val="24"/>
        </w:rPr>
        <w:t xml:space="preserve">2.2.1 Personal &amp; Institutional Information</w:t>
      </w:r>
    </w:p>
    <w:p>
      <w:pPr>
        <w:pStyle w:val="ListParagraph"/>
        <w:numPr>
          <w:ilvl w:val="0"/>
          <w:numId w:val="2"/>
        </w:numPr>
        <w:spacing w:before="60" w:after="60"/>
      </w:pPr>
      <w:r>
        <w:rPr>
          <w:rFonts w:ascii="Arial" w:cs="Arial" w:eastAsia="Arial" w:hAnsi="Arial"/>
          <w:b w:val="false"/>
          <w:bCs w:val="false"/>
          <w:color w:val="1A1A1A"/>
          <w:sz w:val="22"/>
          <w:szCs w:val="22"/>
        </w:rPr>
        <w:t xml:space="preserve">Full name, designation, employee ID, department, and reporting manager</w:t>
      </w:r>
    </w:p>
    <w:p>
      <w:pPr>
        <w:pStyle w:val="ListParagraph"/>
        <w:numPr>
          <w:ilvl w:val="0"/>
          <w:numId w:val="2"/>
        </w:numPr>
        <w:spacing w:before="60" w:after="60"/>
      </w:pPr>
      <w:r>
        <w:rPr>
          <w:rFonts w:ascii="Arial" w:cs="Arial" w:eastAsia="Arial" w:hAnsi="Arial"/>
          <w:b w:val="false"/>
          <w:bCs w:val="false"/>
          <w:color w:val="1A1A1A"/>
          <w:sz w:val="22"/>
          <w:szCs w:val="22"/>
        </w:rPr>
        <w:t xml:space="preserve">Contact details: institutional email, personal email, mobile number, and office location/room number</w:t>
      </w:r>
    </w:p>
    <w:p>
      <w:pPr>
        <w:pStyle w:val="ListParagraph"/>
        <w:numPr>
          <w:ilvl w:val="0"/>
          <w:numId w:val="2"/>
        </w:numPr>
        <w:spacing w:before="60" w:after="60"/>
      </w:pPr>
      <w:r>
        <w:rPr>
          <w:rFonts w:ascii="Arial" w:cs="Arial" w:eastAsia="Arial" w:hAnsi="Arial"/>
          <w:b w:val="false"/>
          <w:bCs w:val="false"/>
          <w:color w:val="1A1A1A"/>
          <w:sz w:val="22"/>
          <w:szCs w:val="22"/>
        </w:rPr>
        <w:t xml:space="preserve">Date of joining, employment type (permanent/contractual/visiting), and contract end date (if applicable)</w:t>
      </w:r>
    </w:p>
    <w:p>
      <w:pPr>
        <w:pStyle w:val="ListParagraph"/>
        <w:numPr>
          <w:ilvl w:val="0"/>
          <w:numId w:val="2"/>
        </w:numPr>
        <w:spacing w:before="60" w:after="60"/>
      </w:pPr>
      <w:r>
        <w:rPr>
          <w:rFonts w:ascii="Arial" w:cs="Arial" w:eastAsia="Arial" w:hAnsi="Arial"/>
          <w:b w:val="false"/>
          <w:bCs w:val="false"/>
          <w:color w:val="1A1A1A"/>
          <w:sz w:val="22"/>
          <w:szCs w:val="22"/>
        </w:rPr>
        <w:t xml:space="preserve">Photograph, digital signature, and biometric token reference (for attendance integration)</w:t>
      </w:r>
    </w:p>
    <w:p>
      <w:pPr>
        <w:pStyle w:val="ListParagraph"/>
        <w:numPr>
          <w:ilvl w:val="0"/>
          <w:numId w:val="2"/>
        </w:numPr>
        <w:spacing w:before="60" w:after="60"/>
      </w:pPr>
      <w:r>
        <w:rPr>
          <w:rFonts w:ascii="Arial" w:cs="Arial" w:eastAsia="Arial" w:hAnsi="Arial"/>
          <w:b w:val="false"/>
          <w:bCs w:val="false"/>
          <w:color w:val="1A1A1A"/>
          <w:sz w:val="22"/>
          <w:szCs w:val="22"/>
        </w:rPr>
        <w:t xml:space="preserve">Emergency contact details and institutional health/insurance reference numbers</w:t>
      </w:r>
    </w:p>
    <w:p>
      <w:pPr>
        <w:spacing w:before="40" w:after="40"/>
      </w:pPr>
      <w:r>
        <w:t xml:space="preserve"/>
      </w:r>
    </w:p>
    <w:p>
      <w:pPr>
        <w:spacing w:before="220" w:after="80"/>
      </w:pPr>
      <w:r>
        <w:rPr>
          <w:rFonts w:ascii="Arial" w:cs="Arial" w:eastAsia="Arial" w:hAnsi="Arial"/>
          <w:b/>
          <w:bCs/>
          <w:color w:val="7B3FA0"/>
          <w:sz w:val="24"/>
          <w:szCs w:val="24"/>
        </w:rPr>
        <w:t xml:space="preserve">2.2.2 Academic Qualifications</w:t>
      </w:r>
    </w:p>
    <w:p>
      <w:pPr>
        <w:pStyle w:val="ListParagraph"/>
        <w:numPr>
          <w:ilvl w:val="0"/>
          <w:numId w:val="2"/>
        </w:numPr>
        <w:spacing w:before="60" w:after="60"/>
      </w:pPr>
      <w:r>
        <w:rPr>
          <w:rFonts w:ascii="Arial" w:cs="Arial" w:eastAsia="Arial" w:hAnsi="Arial"/>
          <w:b w:val="false"/>
          <w:bCs w:val="false"/>
          <w:color w:val="1A1A1A"/>
          <w:sz w:val="22"/>
          <w:szCs w:val="22"/>
        </w:rPr>
        <w:t xml:space="preserve">Degree-by-degree academic record with institution, year of passing, percentage/CGPA, and specialisation</w:t>
      </w:r>
    </w:p>
    <w:p>
      <w:pPr>
        <w:pStyle w:val="ListParagraph"/>
        <w:numPr>
          <w:ilvl w:val="0"/>
          <w:numId w:val="2"/>
        </w:numPr>
        <w:spacing w:before="60" w:after="60"/>
      </w:pPr>
      <w:r>
        <w:rPr>
          <w:rFonts w:ascii="Arial" w:cs="Arial" w:eastAsia="Arial" w:hAnsi="Arial"/>
          <w:b w:val="false"/>
          <w:bCs w:val="false"/>
          <w:color w:val="1A1A1A"/>
          <w:sz w:val="22"/>
          <w:szCs w:val="22"/>
        </w:rPr>
        <w:t xml:space="preserve">Research qualifications: PhD title, university, year of award, thesis title, and supervisor</w:t>
      </w:r>
    </w:p>
    <w:p>
      <w:pPr>
        <w:pStyle w:val="ListParagraph"/>
        <w:numPr>
          <w:ilvl w:val="0"/>
          <w:numId w:val="2"/>
        </w:numPr>
        <w:spacing w:before="60" w:after="60"/>
      </w:pPr>
      <w:r>
        <w:rPr>
          <w:rFonts w:ascii="Arial" w:cs="Arial" w:eastAsia="Arial" w:hAnsi="Arial"/>
          <w:b w:val="false"/>
          <w:bCs w:val="false"/>
          <w:color w:val="1A1A1A"/>
          <w:sz w:val="22"/>
          <w:szCs w:val="22"/>
        </w:rPr>
        <w:t xml:space="preserve">UGC/AICTE approvals, NET/SET/SLET qualification details with roll number and year</w:t>
      </w:r>
    </w:p>
    <w:p>
      <w:pPr>
        <w:pStyle w:val="ListParagraph"/>
        <w:numPr>
          <w:ilvl w:val="0"/>
          <w:numId w:val="2"/>
        </w:numPr>
        <w:spacing w:before="60" w:after="60"/>
      </w:pPr>
      <w:r>
        <w:rPr>
          <w:rFonts w:ascii="Arial" w:cs="Arial" w:eastAsia="Arial" w:hAnsi="Arial"/>
          <w:b w:val="false"/>
          <w:bCs w:val="false"/>
          <w:color w:val="1A1A1A"/>
          <w:sz w:val="22"/>
          <w:szCs w:val="22"/>
        </w:rPr>
        <w:t xml:space="preserve">International qualifications with equivalency certification references</w:t>
      </w:r>
    </w:p>
    <w:p>
      <w:pPr>
        <w:pStyle w:val="ListParagraph"/>
        <w:numPr>
          <w:ilvl w:val="0"/>
          <w:numId w:val="2"/>
        </w:numPr>
        <w:spacing w:before="60" w:after="60"/>
      </w:pPr>
      <w:r>
        <w:rPr>
          <w:rFonts w:ascii="Arial" w:cs="Arial" w:eastAsia="Arial" w:hAnsi="Arial"/>
          <w:b w:val="false"/>
          <w:bCs w:val="false"/>
          <w:color w:val="1A1A1A"/>
          <w:sz w:val="22"/>
          <w:szCs w:val="22"/>
        </w:rPr>
        <w:t xml:space="preserve">All documents stored in the credential vault — viewable by admins; downloadable on request with audit log</w:t>
      </w:r>
    </w:p>
    <w:p>
      <w:pPr>
        <w:spacing w:before="40" w:after="40"/>
      </w:pPr>
      <w:r>
        <w:t xml:space="preserve"/>
      </w:r>
    </w:p>
    <w:p>
      <w:pPr>
        <w:spacing w:before="220" w:after="80"/>
      </w:pPr>
      <w:r>
        <w:rPr>
          <w:rFonts w:ascii="Arial" w:cs="Arial" w:eastAsia="Arial" w:hAnsi="Arial"/>
          <w:b/>
          <w:bCs/>
          <w:color w:val="7B3FA0"/>
          <w:sz w:val="24"/>
          <w:szCs w:val="24"/>
        </w:rPr>
        <w:t xml:space="preserve">2.2.3 Teaching Expertise &amp; Subject Mapping</w:t>
      </w:r>
    </w:p>
    <w:p>
      <w:pPr>
        <w:pStyle w:val="ListParagraph"/>
        <w:numPr>
          <w:ilvl w:val="0"/>
          <w:numId w:val="2"/>
        </w:numPr>
        <w:spacing w:before="60" w:after="60"/>
      </w:pPr>
      <w:r>
        <w:rPr>
          <w:rFonts w:ascii="Arial" w:cs="Arial" w:eastAsia="Arial" w:hAnsi="Arial"/>
          <w:b w:val="false"/>
          <w:bCs w:val="false"/>
          <w:color w:val="1A1A1A"/>
          <w:sz w:val="22"/>
          <w:szCs w:val="22"/>
        </w:rPr>
        <w:t xml:space="preserve">Primary teaching domain and up to three secondary domains</w:t>
      </w:r>
    </w:p>
    <w:p>
      <w:pPr>
        <w:pStyle w:val="ListParagraph"/>
        <w:numPr>
          <w:ilvl w:val="0"/>
          <w:numId w:val="2"/>
        </w:numPr>
        <w:spacing w:before="60" w:after="60"/>
      </w:pPr>
      <w:r>
        <w:rPr>
          <w:rFonts w:ascii="Arial" w:cs="Arial" w:eastAsia="Arial" w:hAnsi="Arial"/>
          <w:b w:val="false"/>
          <w:bCs w:val="false"/>
          <w:color w:val="1A1A1A"/>
          <w:sz w:val="22"/>
          <w:szCs w:val="22"/>
        </w:rPr>
        <w:t xml:space="preserve">Subject expertise tags: a structured list of all subjects and topics the teacher is qualified and experienced to teach</w:t>
      </w:r>
    </w:p>
    <w:p>
      <w:pPr>
        <w:pStyle w:val="ListParagraph"/>
        <w:numPr>
          <w:ilvl w:val="0"/>
          <w:numId w:val="2"/>
        </w:numPr>
        <w:spacing w:before="60" w:after="60"/>
      </w:pPr>
      <w:r>
        <w:rPr>
          <w:rFonts w:ascii="Arial" w:cs="Arial" w:eastAsia="Arial" w:hAnsi="Arial"/>
          <w:b w:val="false"/>
          <w:bCs w:val="false"/>
          <w:color w:val="1A1A1A"/>
          <w:sz w:val="22"/>
          <w:szCs w:val="22"/>
        </w:rPr>
        <w:t xml:space="preserve">Self-declared proficiency level per subject (Competent / Proficient / Expert) — validated against credentials and peer reviews over time</w:t>
      </w:r>
    </w:p>
    <w:p>
      <w:pPr>
        <w:pStyle w:val="ListParagraph"/>
        <w:numPr>
          <w:ilvl w:val="0"/>
          <w:numId w:val="2"/>
        </w:numPr>
        <w:spacing w:before="60" w:after="60"/>
      </w:pPr>
      <w:r>
        <w:rPr>
          <w:rFonts w:ascii="Arial" w:cs="Arial" w:eastAsia="Arial" w:hAnsi="Arial"/>
          <w:b w:val="false"/>
          <w:bCs w:val="false"/>
          <w:color w:val="1A1A1A"/>
          <w:sz w:val="22"/>
          <w:szCs w:val="22"/>
        </w:rPr>
        <w:t xml:space="preserve">Preferred teaching modes: Lecture, Practical/Lab, Tutorial, Seminar, Online, Project-Based</w:t>
      </w:r>
    </w:p>
    <w:p>
      <w:pPr>
        <w:pStyle w:val="ListParagraph"/>
        <w:numPr>
          <w:ilvl w:val="0"/>
          <w:numId w:val="2"/>
        </w:numPr>
        <w:spacing w:before="60" w:after="60"/>
      </w:pPr>
      <w:r>
        <w:rPr>
          <w:rFonts w:ascii="Arial" w:cs="Arial" w:eastAsia="Arial" w:hAnsi="Arial"/>
          <w:b w:val="false"/>
          <w:bCs w:val="false"/>
          <w:color w:val="1A1A1A"/>
          <w:sz w:val="22"/>
          <w:szCs w:val="22"/>
        </w:rPr>
        <w:t xml:space="preserve">Maximum teachable load per week (hours) — used by the workload management system</w:t>
      </w:r>
    </w:p>
    <w:p>
      <w:pPr>
        <w:spacing w:before="40" w:after="40"/>
      </w:pPr>
      <w:r>
        <w:t xml:space="preserve"/>
      </w:r>
    </w:p>
    <w:p>
      <w:pPr>
        <w:spacing w:before="220" w:after="80"/>
      </w:pPr>
      <w:r>
        <w:rPr>
          <w:rFonts w:ascii="Arial" w:cs="Arial" w:eastAsia="Arial" w:hAnsi="Arial"/>
          <w:b/>
          <w:bCs/>
          <w:color w:val="7B3FA0"/>
          <w:sz w:val="24"/>
          <w:szCs w:val="24"/>
        </w:rPr>
        <w:t xml:space="preserve">2.2.4 Professional Experience</w:t>
      </w:r>
    </w:p>
    <w:p>
      <w:pPr>
        <w:pStyle w:val="ListParagraph"/>
        <w:numPr>
          <w:ilvl w:val="0"/>
          <w:numId w:val="2"/>
        </w:numPr>
        <w:spacing w:before="60" w:after="60"/>
      </w:pPr>
      <w:r>
        <w:rPr>
          <w:rFonts w:ascii="Arial" w:cs="Arial" w:eastAsia="Arial" w:hAnsi="Arial"/>
          <w:b w:val="false"/>
          <w:bCs w:val="false"/>
          <w:color w:val="1A1A1A"/>
          <w:sz w:val="22"/>
          <w:szCs w:val="22"/>
        </w:rPr>
        <w:t xml:space="preserve">Previous teaching positions: institution name, role, subjects taught, years of service</w:t>
      </w:r>
    </w:p>
    <w:p>
      <w:pPr>
        <w:pStyle w:val="ListParagraph"/>
        <w:numPr>
          <w:ilvl w:val="0"/>
          <w:numId w:val="2"/>
        </w:numPr>
        <w:spacing w:before="60" w:after="60"/>
      </w:pPr>
      <w:r>
        <w:rPr>
          <w:rFonts w:ascii="Arial" w:cs="Arial" w:eastAsia="Arial" w:hAnsi="Arial"/>
          <w:b w:val="false"/>
          <w:bCs w:val="false"/>
          <w:color w:val="1A1A1A"/>
          <w:sz w:val="22"/>
          <w:szCs w:val="22"/>
        </w:rPr>
        <w:t xml:space="preserve">Industry work experience: company, role, duration, and domain — particularly relevant for practitioner-track faculty</w:t>
      </w:r>
    </w:p>
    <w:p>
      <w:pPr>
        <w:pStyle w:val="ListParagraph"/>
        <w:numPr>
          <w:ilvl w:val="0"/>
          <w:numId w:val="2"/>
        </w:numPr>
        <w:spacing w:before="60" w:after="60"/>
      </w:pPr>
      <w:r>
        <w:rPr>
          <w:rFonts w:ascii="Arial" w:cs="Arial" w:eastAsia="Arial" w:hAnsi="Arial"/>
          <w:b w:val="false"/>
          <w:bCs w:val="false"/>
          <w:color w:val="1A1A1A"/>
          <w:sz w:val="22"/>
          <w:szCs w:val="22"/>
        </w:rPr>
        <w:t xml:space="preserve">Consulting, advisory, or board positions held</w:t>
      </w:r>
    </w:p>
    <w:p>
      <w:pPr>
        <w:pStyle w:val="ListParagraph"/>
        <w:numPr>
          <w:ilvl w:val="0"/>
          <w:numId w:val="2"/>
        </w:numPr>
        <w:spacing w:before="60" w:after="60"/>
      </w:pPr>
      <w:r>
        <w:rPr>
          <w:rFonts w:ascii="Arial" w:cs="Arial" w:eastAsia="Arial" w:hAnsi="Arial"/>
          <w:b w:val="false"/>
          <w:bCs w:val="false"/>
          <w:color w:val="1A1A1A"/>
          <w:sz w:val="22"/>
          <w:szCs w:val="22"/>
        </w:rPr>
        <w:t xml:space="preserve">Visiting faculty engagements at other institutions</w:t>
      </w:r>
    </w:p>
    <w:p>
      <w:pPr>
        <w:spacing w:before="40" w:after="40"/>
      </w:pPr>
      <w:r>
        <w:t xml:space="preserve"/>
      </w:r>
    </w:p>
    <w:p>
      <w:pPr>
        <w:spacing w:before="220" w:after="80"/>
      </w:pPr>
      <w:r>
        <w:rPr>
          <w:rFonts w:ascii="Arial" w:cs="Arial" w:eastAsia="Arial" w:hAnsi="Arial"/>
          <w:b/>
          <w:bCs/>
          <w:color w:val="7B3FA0"/>
          <w:sz w:val="24"/>
          <w:szCs w:val="24"/>
        </w:rPr>
        <w:t xml:space="preserve">2.2.5 Research &amp; Publications</w:t>
      </w:r>
    </w:p>
    <w:p>
      <w:pPr>
        <w:pStyle w:val="ListParagraph"/>
        <w:numPr>
          <w:ilvl w:val="0"/>
          <w:numId w:val="2"/>
        </w:numPr>
        <w:spacing w:before="60" w:after="60"/>
      </w:pPr>
      <w:r>
        <w:rPr>
          <w:rFonts w:ascii="Arial" w:cs="Arial" w:eastAsia="Arial" w:hAnsi="Arial"/>
          <w:b w:val="false"/>
          <w:bCs w:val="false"/>
          <w:color w:val="1A1A1A"/>
          <w:sz w:val="22"/>
          <w:szCs w:val="22"/>
        </w:rPr>
        <w:t xml:space="preserve">Journal publications with title, journal name, impact factor, year, and DOI link</w:t>
      </w:r>
    </w:p>
    <w:p>
      <w:pPr>
        <w:pStyle w:val="ListParagraph"/>
        <w:numPr>
          <w:ilvl w:val="0"/>
          <w:numId w:val="2"/>
        </w:numPr>
        <w:spacing w:before="60" w:after="60"/>
      </w:pPr>
      <w:r>
        <w:rPr>
          <w:rFonts w:ascii="Arial" w:cs="Arial" w:eastAsia="Arial" w:hAnsi="Arial"/>
          <w:b w:val="false"/>
          <w:bCs w:val="false"/>
          <w:color w:val="1A1A1A"/>
          <w:sz w:val="22"/>
          <w:szCs w:val="22"/>
        </w:rPr>
        <w:t xml:space="preserve">Conference papers with title, conference name, year, and proceedings link</w:t>
      </w:r>
    </w:p>
    <w:p>
      <w:pPr>
        <w:pStyle w:val="ListParagraph"/>
        <w:numPr>
          <w:ilvl w:val="0"/>
          <w:numId w:val="2"/>
        </w:numPr>
        <w:spacing w:before="60" w:after="60"/>
      </w:pPr>
      <w:r>
        <w:rPr>
          <w:rFonts w:ascii="Arial" w:cs="Arial" w:eastAsia="Arial" w:hAnsi="Arial"/>
          <w:b w:val="false"/>
          <w:bCs w:val="false"/>
          <w:color w:val="1A1A1A"/>
          <w:sz w:val="22"/>
          <w:szCs w:val="22"/>
        </w:rPr>
        <w:t xml:space="preserve">Books and book chapters authored or co-authored</w:t>
      </w:r>
    </w:p>
    <w:p>
      <w:pPr>
        <w:pStyle w:val="ListParagraph"/>
        <w:numPr>
          <w:ilvl w:val="0"/>
          <w:numId w:val="2"/>
        </w:numPr>
        <w:spacing w:before="60" w:after="60"/>
      </w:pPr>
      <w:r>
        <w:rPr>
          <w:rFonts w:ascii="Arial" w:cs="Arial" w:eastAsia="Arial" w:hAnsi="Arial"/>
          <w:b w:val="false"/>
          <w:bCs w:val="false"/>
          <w:color w:val="1A1A1A"/>
          <w:sz w:val="22"/>
          <w:szCs w:val="22"/>
        </w:rPr>
        <w:t xml:space="preserve">Patents filed or granted with application number and status</w:t>
      </w:r>
    </w:p>
    <w:p>
      <w:pPr>
        <w:pStyle w:val="ListParagraph"/>
        <w:numPr>
          <w:ilvl w:val="0"/>
          <w:numId w:val="2"/>
        </w:numPr>
        <w:spacing w:before="60" w:after="60"/>
      </w:pPr>
      <w:r>
        <w:rPr>
          <w:rFonts w:ascii="Arial" w:cs="Arial" w:eastAsia="Arial" w:hAnsi="Arial"/>
          <w:b w:val="false"/>
          <w:bCs w:val="false"/>
          <w:color w:val="1A1A1A"/>
          <w:sz w:val="22"/>
          <w:szCs w:val="22"/>
        </w:rPr>
        <w:t xml:space="preserve">Ongoing research projects with funding source, PI/Co-PI status, and project timeline</w:t>
      </w:r>
    </w:p>
    <w:p>
      <w:pPr>
        <w:pStyle w:val="ListParagraph"/>
        <w:numPr>
          <w:ilvl w:val="0"/>
          <w:numId w:val="2"/>
        </w:numPr>
        <w:spacing w:before="60" w:after="60"/>
      </w:pPr>
      <w:r>
        <w:rPr>
          <w:rFonts w:ascii="Arial" w:cs="Arial" w:eastAsia="Arial" w:hAnsi="Arial"/>
          <w:b w:val="false"/>
          <w:bCs w:val="false"/>
          <w:color w:val="1A1A1A"/>
          <w:sz w:val="22"/>
          <w:szCs w:val="22"/>
        </w:rPr>
        <w:t xml:space="preserve">Google Scholar profile integration for automatic publication sync</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2.3 Profile Visibility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Profile Section</w:t>
            </w:r>
          </w:p>
        </w:tc>
        <w:tc>
          <w:tcPr>
            <w:tcW w:type="dxa" w:w="356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Teacher Can Edit?</w:t>
            </w:r>
          </w:p>
        </w:tc>
        <w:tc>
          <w:tcPr>
            <w:tcW w:type="dxa" w:w="34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Who Else Can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Personal Info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(non-critical fields)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Admin, Department Head</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Qualifications</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View only (admin-controlled after verification)</w:t>
            </w:r>
          </w:p>
        </w:tc>
        <w:tc>
          <w:tcPr>
            <w:tcW w:type="dxa" w:w="3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Admin, HOD, 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Subject Expertise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Admin, HOD, Timetable System</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Research &amp; Publications</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Yes (with document proof)</w:t>
            </w:r>
          </w:p>
        </w:tc>
        <w:tc>
          <w:tcPr>
            <w:tcW w:type="dxa" w:w="3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Admin, HOD, Students (public bio)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Performance Scores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View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Admin, HOD, HR</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Attendance Record</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View only</w:t>
            </w:r>
          </w:p>
        </w:tc>
        <w:tc>
          <w:tcPr>
            <w:tcW w:type="dxa" w:w="3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Admin, 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History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View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Admin, HOD, HR</w:t>
            </w:r>
          </w:p>
        </w:tc>
      </w:tr>
    </w:tbl>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3: Subject Allocation</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3.1 Overview</w:t>
      </w:r>
    </w:p>
    <w:p>
      <w:pPr>
        <w:spacing w:before="80" w:after="80"/>
      </w:pPr>
      <w:r>
        <w:rPr>
          <w:rFonts w:ascii="Arial" w:cs="Arial" w:eastAsia="Arial" w:hAnsi="Arial"/>
          <w:color w:val="1A1A1A"/>
          <w:sz w:val="22"/>
          <w:szCs w:val="22"/>
        </w:rPr>
        <w:t xml:space="preserve">Subject Allocation is the intelligent, rule-driven process of assigning academic subjects to qualified faculty members for each semester or academic term. It replaces the informal, negotiation-heavy, and often inequitable manual allocation processes common in many institutes with a transparent, data-driven, and auditable system. EcoSkiller's Subject Allocation engine considers faculty qualifications, teaching expertise, workload limits, availability, preferences, and historical performance — generating recommended allocations that department heads can review, modify, and approve with full visibility into every decision.</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3.2 Allocation Input Parameters</w:t>
      </w:r>
    </w:p>
    <w:p>
      <w:pPr>
        <w:spacing w:before="220" w:after="80"/>
      </w:pPr>
      <w:r>
        <w:rPr>
          <w:rFonts w:ascii="Arial" w:cs="Arial" w:eastAsia="Arial" w:hAnsi="Arial"/>
          <w:b/>
          <w:bCs/>
          <w:color w:val="7B3FA0"/>
          <w:sz w:val="24"/>
          <w:szCs w:val="24"/>
        </w:rPr>
        <w:t xml:space="preserve">3.2.1 Subject Requirements (Demand Side)</w:t>
      </w:r>
    </w:p>
    <w:p>
      <w:pPr>
        <w:pStyle w:val="ListParagraph"/>
        <w:numPr>
          <w:ilvl w:val="0"/>
          <w:numId w:val="2"/>
        </w:numPr>
        <w:spacing w:before="60" w:after="60"/>
      </w:pPr>
      <w:r>
        <w:rPr>
          <w:rFonts w:ascii="Arial" w:cs="Arial" w:eastAsia="Arial" w:hAnsi="Arial"/>
          <w:b w:val="false"/>
          <w:bCs w:val="false"/>
          <w:color w:val="1A1A1A"/>
          <w:sz w:val="22"/>
          <w:szCs w:val="22"/>
        </w:rPr>
        <w:t xml:space="preserve">Subject master list for the upcoming semester: subject code, name, department, programme, semester, and credit hours</w:t>
      </w:r>
    </w:p>
    <w:p>
      <w:pPr>
        <w:pStyle w:val="ListParagraph"/>
        <w:numPr>
          <w:ilvl w:val="0"/>
          <w:numId w:val="2"/>
        </w:numPr>
        <w:spacing w:before="60" w:after="60"/>
      </w:pPr>
      <w:r>
        <w:rPr>
          <w:rFonts w:ascii="Arial" w:cs="Arial" w:eastAsia="Arial" w:hAnsi="Arial"/>
          <w:b w:val="false"/>
          <w:bCs w:val="false"/>
          <w:color w:val="1A1A1A"/>
          <w:sz w:val="22"/>
          <w:szCs w:val="22"/>
        </w:rPr>
        <w:t xml:space="preserve">Required qualification level per subject (e.g., PhD mandatory, ME/MTech preferred, BE/BTech minimum)</w:t>
      </w:r>
    </w:p>
    <w:p>
      <w:pPr>
        <w:pStyle w:val="ListParagraph"/>
        <w:numPr>
          <w:ilvl w:val="0"/>
          <w:numId w:val="2"/>
        </w:numPr>
        <w:spacing w:before="60" w:after="60"/>
      </w:pPr>
      <w:r>
        <w:rPr>
          <w:rFonts w:ascii="Arial" w:cs="Arial" w:eastAsia="Arial" w:hAnsi="Arial"/>
          <w:b w:val="false"/>
          <w:bCs w:val="false"/>
          <w:color w:val="1A1A1A"/>
          <w:sz w:val="22"/>
          <w:szCs w:val="22"/>
        </w:rPr>
        <w:t xml:space="preserve">Preferred teaching experience level (e.g., minimum 3 years of teaching this subject)</w:t>
      </w:r>
    </w:p>
    <w:p>
      <w:pPr>
        <w:pStyle w:val="ListParagraph"/>
        <w:numPr>
          <w:ilvl w:val="0"/>
          <w:numId w:val="2"/>
        </w:numPr>
        <w:spacing w:before="60" w:after="60"/>
      </w:pPr>
      <w:r>
        <w:rPr>
          <w:rFonts w:ascii="Arial" w:cs="Arial" w:eastAsia="Arial" w:hAnsi="Arial"/>
          <w:b w:val="false"/>
          <w:bCs w:val="false"/>
          <w:color w:val="1A1A1A"/>
          <w:sz w:val="22"/>
          <w:szCs w:val="22"/>
        </w:rPr>
        <w:t xml:space="preserve">Number of sections and expected student strength per section</w:t>
      </w:r>
    </w:p>
    <w:p>
      <w:pPr>
        <w:pStyle w:val="ListParagraph"/>
        <w:numPr>
          <w:ilvl w:val="0"/>
          <w:numId w:val="2"/>
        </w:numPr>
        <w:spacing w:before="60" w:after="60"/>
      </w:pPr>
      <w:r>
        <w:rPr>
          <w:rFonts w:ascii="Arial" w:cs="Arial" w:eastAsia="Arial" w:hAnsi="Arial"/>
          <w:b w:val="false"/>
          <w:bCs w:val="false"/>
          <w:color w:val="1A1A1A"/>
          <w:sz w:val="22"/>
          <w:szCs w:val="22"/>
        </w:rPr>
        <w:t xml:space="preserve">Practical/lab components: whether the subject requires lab sessions and any additional certifications</w:t>
      </w:r>
    </w:p>
    <w:p>
      <w:pPr>
        <w:spacing w:before="40" w:after="40"/>
      </w:pPr>
      <w:r>
        <w:t xml:space="preserve"/>
      </w:r>
    </w:p>
    <w:p>
      <w:pPr>
        <w:spacing w:before="220" w:after="80"/>
      </w:pPr>
      <w:r>
        <w:rPr>
          <w:rFonts w:ascii="Arial" w:cs="Arial" w:eastAsia="Arial" w:hAnsi="Arial"/>
          <w:b/>
          <w:bCs/>
          <w:color w:val="7B3FA0"/>
          <w:sz w:val="24"/>
          <w:szCs w:val="24"/>
        </w:rPr>
        <w:t xml:space="preserve">3.2.2 Faculty Availability (Supply Side)</w:t>
      </w:r>
    </w:p>
    <w:p>
      <w:pPr>
        <w:pStyle w:val="ListParagraph"/>
        <w:numPr>
          <w:ilvl w:val="0"/>
          <w:numId w:val="2"/>
        </w:numPr>
        <w:spacing w:before="60" w:after="60"/>
      </w:pPr>
      <w:r>
        <w:rPr>
          <w:rFonts w:ascii="Arial" w:cs="Arial" w:eastAsia="Arial" w:hAnsi="Arial"/>
          <w:b w:val="false"/>
          <w:bCs w:val="false"/>
          <w:color w:val="1A1A1A"/>
          <w:sz w:val="22"/>
          <w:szCs w:val="22"/>
        </w:rPr>
        <w:t xml:space="preserve">Declared weekly availability in hours per faculty member (from their profile)</w:t>
      </w:r>
    </w:p>
    <w:p>
      <w:pPr>
        <w:pStyle w:val="ListParagraph"/>
        <w:numPr>
          <w:ilvl w:val="0"/>
          <w:numId w:val="2"/>
        </w:numPr>
        <w:spacing w:before="60" w:after="60"/>
      </w:pPr>
      <w:r>
        <w:rPr>
          <w:rFonts w:ascii="Arial" w:cs="Arial" w:eastAsia="Arial" w:hAnsi="Arial"/>
          <w:b w:val="false"/>
          <w:bCs w:val="false"/>
          <w:color w:val="1A1A1A"/>
          <w:sz w:val="22"/>
          <w:szCs w:val="22"/>
        </w:rPr>
        <w:t xml:space="preserve">Leave plans, confirmed training programmes, and external commitments for the upcoming semester</w:t>
      </w:r>
    </w:p>
    <w:p>
      <w:pPr>
        <w:pStyle w:val="ListParagraph"/>
        <w:numPr>
          <w:ilvl w:val="0"/>
          <w:numId w:val="2"/>
        </w:numPr>
        <w:spacing w:before="60" w:after="60"/>
      </w:pPr>
      <w:r>
        <w:rPr>
          <w:rFonts w:ascii="Arial" w:cs="Arial" w:eastAsia="Arial" w:hAnsi="Arial"/>
          <w:b w:val="false"/>
          <w:bCs w:val="false"/>
          <w:color w:val="1A1A1A"/>
          <w:sz w:val="22"/>
          <w:szCs w:val="22"/>
        </w:rPr>
        <w:t xml:space="preserve">Administrative roles that consume teaching time (HOD, exam coordinator, etc.)</w:t>
      </w:r>
    </w:p>
    <w:p>
      <w:pPr>
        <w:pStyle w:val="ListParagraph"/>
        <w:numPr>
          <w:ilvl w:val="0"/>
          <w:numId w:val="2"/>
        </w:numPr>
        <w:spacing w:before="60" w:after="60"/>
      </w:pPr>
      <w:r>
        <w:rPr>
          <w:rFonts w:ascii="Arial" w:cs="Arial" w:eastAsia="Arial" w:hAnsi="Arial"/>
          <w:b w:val="false"/>
          <w:bCs w:val="false"/>
          <w:color w:val="1A1A1A"/>
          <w:sz w:val="22"/>
          <w:szCs w:val="22"/>
        </w:rPr>
        <w:t xml:space="preserve">Carry-forward subjects from the previous semester that the teacher is continuing</w:t>
      </w:r>
    </w:p>
    <w:p>
      <w:pPr>
        <w:pStyle w:val="ListParagraph"/>
        <w:numPr>
          <w:ilvl w:val="0"/>
          <w:numId w:val="2"/>
        </w:numPr>
        <w:spacing w:before="60" w:after="60"/>
      </w:pPr>
      <w:r>
        <w:rPr>
          <w:rFonts w:ascii="Arial" w:cs="Arial" w:eastAsia="Arial" w:hAnsi="Arial"/>
          <w:b w:val="false"/>
          <w:bCs w:val="false"/>
          <w:color w:val="1A1A1A"/>
          <w:sz w:val="22"/>
          <w:szCs w:val="22"/>
        </w:rPr>
        <w:t xml:space="preserve">Faculty preferences submitted through the subject preference portal (open for 5 days at semester start)</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3.3 Allocation Engine Logic</w:t>
      </w:r>
    </w:p>
    <w:p>
      <w:pPr>
        <w:spacing w:before="220" w:after="80"/>
      </w:pPr>
      <w:r>
        <w:rPr>
          <w:rFonts w:ascii="Arial" w:cs="Arial" w:eastAsia="Arial" w:hAnsi="Arial"/>
          <w:b/>
          <w:bCs/>
          <w:color w:val="7B3FA0"/>
          <w:sz w:val="24"/>
          <w:szCs w:val="24"/>
        </w:rPr>
        <w:t xml:space="preserve">3.3.1 Eligibility Matrix</w:t>
      </w:r>
    </w:p>
    <w:p>
      <w:pPr>
        <w:spacing w:before="80" w:after="80"/>
      </w:pPr>
      <w:r>
        <w:rPr>
          <w:rFonts w:ascii="Arial" w:cs="Arial" w:eastAsia="Arial" w:hAnsi="Arial"/>
          <w:color w:val="1A1A1A"/>
          <w:sz w:val="22"/>
          <w:szCs w:val="22"/>
        </w:rPr>
        <w:t xml:space="preserve">Before generating recommendations, the system builds an eligibility matrix for every faculty-subject pair:</w:t>
      </w:r>
    </w:p>
    <w:p>
      <w:pPr>
        <w:pStyle w:val="ListParagraph"/>
        <w:numPr>
          <w:ilvl w:val="0"/>
          <w:numId w:val="2"/>
        </w:numPr>
        <w:spacing w:before="60" w:after="60"/>
      </w:pPr>
      <w:r>
        <w:rPr>
          <w:rFonts w:ascii="Arial" w:cs="Arial" w:eastAsia="Arial" w:hAnsi="Arial"/>
          <w:b w:val="false"/>
          <w:bCs w:val="false"/>
          <w:color w:val="1A1A1A"/>
          <w:sz w:val="22"/>
          <w:szCs w:val="22"/>
        </w:rPr>
        <w:t xml:space="preserve">Qualification Match: Does the teacher's highest qualification meet the subject's minimum requirement?</w:t>
      </w:r>
    </w:p>
    <w:p>
      <w:pPr>
        <w:pStyle w:val="ListParagraph"/>
        <w:numPr>
          <w:ilvl w:val="0"/>
          <w:numId w:val="2"/>
        </w:numPr>
        <w:spacing w:before="60" w:after="60"/>
      </w:pPr>
      <w:r>
        <w:rPr>
          <w:rFonts w:ascii="Arial" w:cs="Arial" w:eastAsia="Arial" w:hAnsi="Arial"/>
          <w:b w:val="false"/>
          <w:bCs w:val="false"/>
          <w:color w:val="1A1A1A"/>
          <w:sz w:val="22"/>
          <w:szCs w:val="22"/>
        </w:rPr>
        <w:t xml:space="preserve">Domain Match: Is the subject within the teacher's declared expertise domains?</w:t>
      </w:r>
    </w:p>
    <w:p>
      <w:pPr>
        <w:pStyle w:val="ListParagraph"/>
        <w:numPr>
          <w:ilvl w:val="0"/>
          <w:numId w:val="2"/>
        </w:numPr>
        <w:spacing w:before="60" w:after="60"/>
      </w:pPr>
      <w:r>
        <w:rPr>
          <w:rFonts w:ascii="Arial" w:cs="Arial" w:eastAsia="Arial" w:hAnsi="Arial"/>
          <w:b w:val="false"/>
          <w:bCs w:val="false"/>
          <w:color w:val="1A1A1A"/>
          <w:sz w:val="22"/>
          <w:szCs w:val="22"/>
        </w:rPr>
        <w:t xml:space="preserve">Experience Match: Has the teacher previously taught this subject or a closely related one?</w:t>
      </w:r>
    </w:p>
    <w:p>
      <w:pPr>
        <w:pStyle w:val="ListParagraph"/>
        <w:numPr>
          <w:ilvl w:val="0"/>
          <w:numId w:val="2"/>
        </w:numPr>
        <w:spacing w:before="60" w:after="60"/>
      </w:pPr>
      <w:r>
        <w:rPr>
          <w:rFonts w:ascii="Arial" w:cs="Arial" w:eastAsia="Arial" w:hAnsi="Arial"/>
          <w:b w:val="false"/>
          <w:bCs w:val="false"/>
          <w:color w:val="1A1A1A"/>
          <w:sz w:val="22"/>
          <w:szCs w:val="22"/>
        </w:rPr>
        <w:t xml:space="preserve">Workload Headroom: Does adding this subject keep the teacher within their declared maximum weekly hours?</w:t>
      </w:r>
    </w:p>
    <w:p>
      <w:pPr>
        <w:pStyle w:val="ListParagraph"/>
        <w:numPr>
          <w:ilvl w:val="0"/>
          <w:numId w:val="2"/>
        </w:numPr>
        <w:spacing w:before="60" w:after="60"/>
      </w:pPr>
      <w:r>
        <w:rPr>
          <w:rFonts w:ascii="Arial" w:cs="Arial" w:eastAsia="Arial" w:hAnsi="Arial"/>
          <w:b w:val="false"/>
          <w:bCs w:val="false"/>
          <w:color w:val="1A1A1A"/>
          <w:sz w:val="22"/>
          <w:szCs w:val="22"/>
        </w:rPr>
        <w:t xml:space="preserve">Performance Flag: Is the teacher's performance rating for this subject (from student feedback and evaluation) above the minimum threshold?</w:t>
      </w:r>
    </w:p>
    <w:p>
      <w:pPr>
        <w:spacing w:before="80" w:after="80"/>
      </w:pPr>
      <w:r>
        <w:rPr>
          <w:rFonts w:ascii="Arial" w:cs="Arial" w:eastAsia="Arial" w:hAnsi="Arial"/>
          <w:color w:val="1A1A1A"/>
          <w:sz w:val="22"/>
          <w:szCs w:val="22"/>
        </w:rPr>
        <w:t xml:space="preserve">Only faculty-subject pairs that pass all five eligibility checks appear in the recommendation pool. Pairs that fail one check appear in a flagged list for manual admin override with documented justification.</w:t>
      </w:r>
    </w:p>
    <w:p>
      <w:pPr>
        <w:spacing w:before="40" w:after="40"/>
      </w:pPr>
      <w:r>
        <w:t xml:space="preserve"/>
      </w:r>
    </w:p>
    <w:p>
      <w:pPr>
        <w:spacing w:before="220" w:after="80"/>
      </w:pPr>
      <w:r>
        <w:rPr>
          <w:rFonts w:ascii="Arial" w:cs="Arial" w:eastAsia="Arial" w:hAnsi="Arial"/>
          <w:b/>
          <w:bCs/>
          <w:color w:val="7B3FA0"/>
          <w:sz w:val="24"/>
          <w:szCs w:val="24"/>
        </w:rPr>
        <w:t xml:space="preserve">3.3.2 Optimisation Objectives</w:t>
      </w:r>
    </w:p>
    <w:p>
      <w:pPr>
        <w:pStyle w:val="ListParagraph"/>
        <w:numPr>
          <w:ilvl w:val="0"/>
          <w:numId w:val="2"/>
        </w:numPr>
        <w:spacing w:before="60" w:after="60"/>
      </w:pPr>
      <w:r>
        <w:rPr>
          <w:rFonts w:ascii="Arial" w:cs="Arial" w:eastAsia="Arial" w:hAnsi="Arial"/>
          <w:b w:val="false"/>
          <w:bCs w:val="false"/>
          <w:color w:val="1A1A1A"/>
          <w:sz w:val="22"/>
          <w:szCs w:val="22"/>
        </w:rPr>
        <w:t xml:space="preserve">Maximise qualification-to-subject match quality across all allocations</w:t>
      </w:r>
    </w:p>
    <w:p>
      <w:pPr>
        <w:pStyle w:val="ListParagraph"/>
        <w:numPr>
          <w:ilvl w:val="0"/>
          <w:numId w:val="2"/>
        </w:numPr>
        <w:spacing w:before="60" w:after="60"/>
      </w:pPr>
      <w:r>
        <w:rPr>
          <w:rFonts w:ascii="Arial" w:cs="Arial" w:eastAsia="Arial" w:hAnsi="Arial"/>
          <w:b w:val="false"/>
          <w:bCs w:val="false"/>
          <w:color w:val="1A1A1A"/>
          <w:sz w:val="22"/>
          <w:szCs w:val="22"/>
        </w:rPr>
        <w:t xml:space="preserve">Balance workload equitably across faculty within each department (minimise variance in weekly teaching hours)</w:t>
      </w:r>
    </w:p>
    <w:p>
      <w:pPr>
        <w:pStyle w:val="ListParagraph"/>
        <w:numPr>
          <w:ilvl w:val="0"/>
          <w:numId w:val="2"/>
        </w:numPr>
        <w:spacing w:before="60" w:after="60"/>
      </w:pPr>
      <w:r>
        <w:rPr>
          <w:rFonts w:ascii="Arial" w:cs="Arial" w:eastAsia="Arial" w:hAnsi="Arial"/>
          <w:b w:val="false"/>
          <w:bCs w:val="false"/>
          <w:color w:val="1A1A1A"/>
          <w:sz w:val="22"/>
          <w:szCs w:val="22"/>
        </w:rPr>
        <w:t xml:space="preserve">Prioritise faculty preferences where multiple eligible teachers exist for the same subject</w:t>
      </w:r>
    </w:p>
    <w:p>
      <w:pPr>
        <w:pStyle w:val="ListParagraph"/>
        <w:numPr>
          <w:ilvl w:val="0"/>
          <w:numId w:val="2"/>
        </w:numPr>
        <w:spacing w:before="60" w:after="60"/>
      </w:pPr>
      <w:r>
        <w:rPr>
          <w:rFonts w:ascii="Arial" w:cs="Arial" w:eastAsia="Arial" w:hAnsi="Arial"/>
          <w:b w:val="false"/>
          <w:bCs w:val="false"/>
          <w:color w:val="1A1A1A"/>
          <w:sz w:val="22"/>
          <w:szCs w:val="22"/>
        </w:rPr>
        <w:t xml:space="preserve">Preserve continuity: prefer assigning the same teacher who taught a subject in the previous semester (reduces preparation time and maintains student familiarity)</w:t>
      </w:r>
    </w:p>
    <w:p>
      <w:pPr>
        <w:pStyle w:val="ListParagraph"/>
        <w:numPr>
          <w:ilvl w:val="0"/>
          <w:numId w:val="2"/>
        </w:numPr>
        <w:spacing w:before="60" w:after="60"/>
      </w:pPr>
      <w:r>
        <w:rPr>
          <w:rFonts w:ascii="Arial" w:cs="Arial" w:eastAsia="Arial" w:hAnsi="Arial"/>
          <w:b w:val="false"/>
          <w:bCs w:val="false"/>
          <w:color w:val="1A1A1A"/>
          <w:sz w:val="22"/>
          <w:szCs w:val="22"/>
        </w:rPr>
        <w:t xml:space="preserve">Minimise the number of distinct subjects per teacher per semester (depth over breadth for quality)</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3.4 Allocation Workflow</w:t>
      </w:r>
    </w:p>
    <w:p>
      <w:pPr>
        <w:pStyle w:val="ListParagraph"/>
        <w:numPr>
          <w:ilvl w:val="0"/>
          <w:numId w:val="2"/>
        </w:numPr>
        <w:spacing w:before="60" w:after="60"/>
      </w:pPr>
      <w:r>
        <w:rPr>
          <w:rFonts w:ascii="Arial" w:cs="Arial" w:eastAsia="Arial" w:hAnsi="Arial"/>
          <w:b w:val="false"/>
          <w:bCs w:val="false"/>
          <w:color w:val="1A1A1A"/>
          <w:sz w:val="22"/>
          <w:szCs w:val="22"/>
        </w:rPr>
        <w:t xml:space="preserve">Step 1 — Semester Setup: Admin configures the subject list, requirements, and allocation timeline for the upcoming semester.</w:t>
      </w:r>
    </w:p>
    <w:p>
      <w:pPr>
        <w:pStyle w:val="ListParagraph"/>
        <w:numPr>
          <w:ilvl w:val="0"/>
          <w:numId w:val="2"/>
        </w:numPr>
        <w:spacing w:before="60" w:after="60"/>
      </w:pPr>
      <w:r>
        <w:rPr>
          <w:rFonts w:ascii="Arial" w:cs="Arial" w:eastAsia="Arial" w:hAnsi="Arial"/>
          <w:b w:val="false"/>
          <w:bCs w:val="false"/>
          <w:color w:val="1A1A1A"/>
          <w:sz w:val="22"/>
          <w:szCs w:val="22"/>
        </w:rPr>
        <w:t xml:space="preserve">Step 2 — Faculty Preference Collection: Teachers submit their subject preferences and availability through a structured preference form (open for 5 days).</w:t>
      </w:r>
    </w:p>
    <w:p>
      <w:pPr>
        <w:pStyle w:val="ListParagraph"/>
        <w:numPr>
          <w:ilvl w:val="0"/>
          <w:numId w:val="2"/>
        </w:numPr>
        <w:spacing w:before="60" w:after="60"/>
      </w:pPr>
      <w:r>
        <w:rPr>
          <w:rFonts w:ascii="Arial" w:cs="Arial" w:eastAsia="Arial" w:hAnsi="Arial"/>
          <w:b w:val="false"/>
          <w:bCs w:val="false"/>
          <w:color w:val="1A1A1A"/>
          <w:sz w:val="22"/>
          <w:szCs w:val="22"/>
        </w:rPr>
        <w:t xml:space="preserve">Step 3 — Engine Run: The allocation engine processes all inputs and generates a recommended allocation plan.</w:t>
      </w:r>
    </w:p>
    <w:p>
      <w:pPr>
        <w:pStyle w:val="ListParagraph"/>
        <w:numPr>
          <w:ilvl w:val="0"/>
          <w:numId w:val="2"/>
        </w:numPr>
        <w:spacing w:before="60" w:after="60"/>
      </w:pPr>
      <w:r>
        <w:rPr>
          <w:rFonts w:ascii="Arial" w:cs="Arial" w:eastAsia="Arial" w:hAnsi="Arial"/>
          <w:b w:val="false"/>
          <w:bCs w:val="false"/>
          <w:color w:val="1A1A1A"/>
          <w:sz w:val="22"/>
          <w:szCs w:val="22"/>
        </w:rPr>
        <w:t xml:space="preserve">Step 4 — Department Head Review: HOD reviews the recommendations, can manually swap or override allocations, and adds justification notes for any changes.</w:t>
      </w:r>
    </w:p>
    <w:p>
      <w:pPr>
        <w:pStyle w:val="ListParagraph"/>
        <w:numPr>
          <w:ilvl w:val="0"/>
          <w:numId w:val="2"/>
        </w:numPr>
        <w:spacing w:before="60" w:after="60"/>
      </w:pPr>
      <w:r>
        <w:rPr>
          <w:rFonts w:ascii="Arial" w:cs="Arial" w:eastAsia="Arial" w:hAnsi="Arial"/>
          <w:b w:val="false"/>
          <w:bCs w:val="false"/>
          <w:color w:val="1A1A1A"/>
          <w:sz w:val="22"/>
          <w:szCs w:val="22"/>
        </w:rPr>
        <w:t xml:space="preserve">Step 5 — Faculty Notification: Finalised allocations are communicated to all faculty with subject details, schedule expectations, and student count.</w:t>
      </w:r>
    </w:p>
    <w:p>
      <w:pPr>
        <w:pStyle w:val="ListParagraph"/>
        <w:numPr>
          <w:ilvl w:val="0"/>
          <w:numId w:val="2"/>
        </w:numPr>
        <w:spacing w:before="60" w:after="60"/>
      </w:pPr>
      <w:r>
        <w:rPr>
          <w:rFonts w:ascii="Arial" w:cs="Arial" w:eastAsia="Arial" w:hAnsi="Arial"/>
          <w:b w:val="false"/>
          <w:bCs w:val="false"/>
          <w:color w:val="1A1A1A"/>
          <w:sz w:val="22"/>
          <w:szCs w:val="22"/>
        </w:rPr>
        <w:t xml:space="preserve">Step 6 — Acceptance Confirmation: Faculty members formally confirm or raise concerns about their allocation within 48 hours. Concerns trigger a review workflow.</w:t>
      </w:r>
    </w:p>
    <w:p>
      <w:pPr>
        <w:pStyle w:val="ListParagraph"/>
        <w:numPr>
          <w:ilvl w:val="0"/>
          <w:numId w:val="2"/>
        </w:numPr>
        <w:spacing w:before="60" w:after="60"/>
      </w:pPr>
      <w:r>
        <w:rPr>
          <w:rFonts w:ascii="Arial" w:cs="Arial" w:eastAsia="Arial" w:hAnsi="Arial"/>
          <w:b w:val="false"/>
          <w:bCs w:val="false"/>
          <w:color w:val="1A1A1A"/>
          <w:sz w:val="22"/>
          <w:szCs w:val="22"/>
        </w:rPr>
        <w:t xml:space="preserve">Step 7 — Lock &amp; Timetable Feed: Approved allocations are locked and fed into the timetable and class assignment system.</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3.5 Conflict Resolution &amp; Audit</w:t>
      </w:r>
    </w:p>
    <w:p>
      <w:pPr>
        <w:pStyle w:val="ListParagraph"/>
        <w:numPr>
          <w:ilvl w:val="0"/>
          <w:numId w:val="2"/>
        </w:numPr>
        <w:spacing w:before="60" w:after="60"/>
      </w:pPr>
      <w:r>
        <w:rPr>
          <w:rFonts w:ascii="Arial" w:cs="Arial" w:eastAsia="Arial" w:hAnsi="Arial"/>
          <w:b w:val="false"/>
          <w:bCs w:val="false"/>
          <w:color w:val="1A1A1A"/>
          <w:sz w:val="22"/>
          <w:szCs w:val="22"/>
        </w:rPr>
        <w:t xml:space="preserve">Conflict detection: System flags double-allocation attempts (same teacher assigned to two concurrent sessions), qualification shortfalls, and workload limit breaches.</w:t>
      </w:r>
    </w:p>
    <w:p>
      <w:pPr>
        <w:pStyle w:val="ListParagraph"/>
        <w:numPr>
          <w:ilvl w:val="0"/>
          <w:numId w:val="2"/>
        </w:numPr>
        <w:spacing w:before="60" w:after="60"/>
      </w:pPr>
      <w:r>
        <w:rPr>
          <w:rFonts w:ascii="Arial" w:cs="Arial" w:eastAsia="Arial" w:hAnsi="Arial"/>
          <w:b w:val="false"/>
          <w:bCs w:val="false"/>
          <w:color w:val="1A1A1A"/>
          <w:sz w:val="22"/>
          <w:szCs w:val="22"/>
        </w:rPr>
        <w:t xml:space="preserve">Override audit trail: Every manual override by a department head or admin is logged with the overrider's name, timestamp, original recommendation, override decision, and written justification.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Allocation history: All subject allocations across semesters are stored permanently — enabling year-on-year comparison, trend analysis, and institutional research.</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4: Class Assignment</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4.1 Overview</w:t>
      </w:r>
    </w:p>
    <w:p>
      <w:pPr>
        <w:spacing w:before="80" w:after="80"/>
      </w:pPr>
      <w:r>
        <w:rPr>
          <w:rFonts w:ascii="Arial" w:cs="Arial" w:eastAsia="Arial" w:hAnsi="Arial"/>
          <w:color w:val="1A1A1A"/>
          <w:sz w:val="22"/>
          <w:szCs w:val="22"/>
        </w:rPr>
        <w:t xml:space="preserve">Class Assignment is the downstream process that translates subject allocations into specific timetable slots, classrooms, and student group assignments. While Subject Allocation answers who teaches what, Class Assignment answers when, where, and with whom. It is the operational execution layer of faculty management — generating the daily, weekly, and semester-long schedule that every teacher, student, and administrator works from. EcoSkiller's Class Assignment system integrates with the timetable engine, room booking system, and student section management to produce conflict-free, optimised schedules automatically.</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4.2 Class Assignment Components</w:t>
      </w:r>
    </w:p>
    <w:p>
      <w:pPr>
        <w:spacing w:before="220" w:after="80"/>
      </w:pPr>
      <w:r>
        <w:rPr>
          <w:rFonts w:ascii="Arial" w:cs="Arial" w:eastAsia="Arial" w:hAnsi="Arial"/>
          <w:b/>
          <w:bCs/>
          <w:color w:val="7B3FA0"/>
          <w:sz w:val="24"/>
          <w:szCs w:val="24"/>
        </w:rPr>
        <w:t xml:space="preserve">4.2.1 Timetable Slot Assignment</w:t>
      </w:r>
    </w:p>
    <w:p>
      <w:pPr>
        <w:pStyle w:val="ListParagraph"/>
        <w:numPr>
          <w:ilvl w:val="0"/>
          <w:numId w:val="2"/>
        </w:numPr>
        <w:spacing w:before="60" w:after="60"/>
      </w:pPr>
      <w:r>
        <w:rPr>
          <w:rFonts w:ascii="Arial" w:cs="Arial" w:eastAsia="Arial" w:hAnsi="Arial"/>
          <w:b w:val="false"/>
          <w:bCs w:val="false"/>
          <w:color w:val="1A1A1A"/>
          <w:sz w:val="22"/>
          <w:szCs w:val="22"/>
        </w:rPr>
        <w:t xml:space="preserve">Assigns each subject-teacher-section combination to specific time slots across the week.</w:t>
      </w:r>
    </w:p>
    <w:p>
      <w:pPr>
        <w:pStyle w:val="ListParagraph"/>
        <w:numPr>
          <w:ilvl w:val="0"/>
          <w:numId w:val="2"/>
        </w:numPr>
        <w:spacing w:before="60" w:after="60"/>
      </w:pPr>
      <w:r>
        <w:rPr>
          <w:rFonts w:ascii="Arial" w:cs="Arial" w:eastAsia="Arial" w:hAnsi="Arial"/>
          <w:b w:val="false"/>
          <w:bCs w:val="false"/>
          <w:color w:val="1A1A1A"/>
          <w:sz w:val="22"/>
          <w:szCs w:val="22"/>
        </w:rPr>
        <w:t xml:space="preserve">Constraint handling: No teacher is assigned two sessions at the same time; no classroom is double-booked; student sections have no period clashes across subjects.</w:t>
      </w:r>
    </w:p>
    <w:p>
      <w:pPr>
        <w:pStyle w:val="ListParagraph"/>
        <w:numPr>
          <w:ilvl w:val="0"/>
          <w:numId w:val="2"/>
        </w:numPr>
        <w:spacing w:before="60" w:after="60"/>
      </w:pPr>
      <w:r>
        <w:rPr>
          <w:rFonts w:ascii="Arial" w:cs="Arial" w:eastAsia="Arial" w:hAnsi="Arial"/>
          <w:b w:val="false"/>
          <w:bCs w:val="false"/>
          <w:color w:val="1A1A1A"/>
          <w:sz w:val="22"/>
          <w:szCs w:val="22"/>
        </w:rPr>
        <w:t xml:space="preserve">Preferred time slots from teacher profiles are honoured where constraints permit.</w:t>
      </w:r>
    </w:p>
    <w:p>
      <w:pPr>
        <w:pStyle w:val="ListParagraph"/>
        <w:numPr>
          <w:ilvl w:val="0"/>
          <w:numId w:val="2"/>
        </w:numPr>
        <w:spacing w:before="60" w:after="60"/>
      </w:pPr>
      <w:r>
        <w:rPr>
          <w:rFonts w:ascii="Arial" w:cs="Arial" w:eastAsia="Arial" w:hAnsi="Arial"/>
          <w:b w:val="false"/>
          <w:bCs w:val="false"/>
          <w:color w:val="1A1A1A"/>
          <w:sz w:val="22"/>
          <w:szCs w:val="22"/>
        </w:rPr>
        <w:t xml:space="preserve">Even distribution of subject sessions across the week (avoids scheduling all sessions of one subject on consecutive days unless pedagogically justified).</w:t>
      </w:r>
    </w:p>
    <w:p>
      <w:pPr>
        <w:pStyle w:val="ListParagraph"/>
        <w:numPr>
          <w:ilvl w:val="0"/>
          <w:numId w:val="2"/>
        </w:numPr>
        <w:spacing w:before="60" w:after="60"/>
      </w:pPr>
      <w:r>
        <w:rPr>
          <w:rFonts w:ascii="Arial" w:cs="Arial" w:eastAsia="Arial" w:hAnsi="Arial"/>
          <w:b w:val="false"/>
          <w:bCs w:val="false"/>
          <w:color w:val="1A1A1A"/>
          <w:sz w:val="22"/>
          <w:szCs w:val="22"/>
        </w:rPr>
        <w:t xml:space="preserve">Buffer periods between consecutive teaching sessions for preparation and travel time.</w:t>
      </w:r>
    </w:p>
    <w:p>
      <w:pPr>
        <w:spacing w:before="40" w:after="40"/>
      </w:pPr>
      <w:r>
        <w:t xml:space="preserve"/>
      </w:r>
    </w:p>
    <w:p>
      <w:pPr>
        <w:spacing w:before="220" w:after="80"/>
      </w:pPr>
      <w:r>
        <w:rPr>
          <w:rFonts w:ascii="Arial" w:cs="Arial" w:eastAsia="Arial" w:hAnsi="Arial"/>
          <w:b/>
          <w:bCs/>
          <w:color w:val="7B3FA0"/>
          <w:sz w:val="24"/>
          <w:szCs w:val="24"/>
        </w:rPr>
        <w:t xml:space="preserve">4.2.2 Student Section Mapping</w:t>
      </w:r>
    </w:p>
    <w:p>
      <w:pPr>
        <w:pStyle w:val="ListParagraph"/>
        <w:numPr>
          <w:ilvl w:val="0"/>
          <w:numId w:val="2"/>
        </w:numPr>
        <w:spacing w:before="60" w:after="60"/>
      </w:pPr>
      <w:r>
        <w:rPr>
          <w:rFonts w:ascii="Arial" w:cs="Arial" w:eastAsia="Arial" w:hAnsi="Arial"/>
          <w:b w:val="false"/>
          <w:bCs w:val="false"/>
          <w:color w:val="1A1A1A"/>
          <w:sz w:val="22"/>
          <w:szCs w:val="22"/>
        </w:rPr>
        <w:t xml:space="preserve">Each class assignment links a specific teacher to a specific student section (e.g., CSE-B, MBA-2A) for the assigned subject.</w:t>
      </w:r>
    </w:p>
    <w:p>
      <w:pPr>
        <w:pStyle w:val="ListParagraph"/>
        <w:numPr>
          <w:ilvl w:val="0"/>
          <w:numId w:val="2"/>
        </w:numPr>
        <w:spacing w:before="60" w:after="60"/>
      </w:pPr>
      <w:r>
        <w:rPr>
          <w:rFonts w:ascii="Arial" w:cs="Arial" w:eastAsia="Arial" w:hAnsi="Arial"/>
          <w:b w:val="false"/>
          <w:bCs w:val="false"/>
          <w:color w:val="1A1A1A"/>
          <w:sz w:val="22"/>
          <w:szCs w:val="22"/>
        </w:rPr>
        <w:t xml:space="preserve">Multi-section subjects: If a subject has multiple sections, assignment specifies which teacher handles which section — preventing ambiguity.</w:t>
      </w:r>
    </w:p>
    <w:p>
      <w:pPr>
        <w:pStyle w:val="ListParagraph"/>
        <w:numPr>
          <w:ilvl w:val="0"/>
          <w:numId w:val="2"/>
        </w:numPr>
        <w:spacing w:before="60" w:after="60"/>
      </w:pPr>
      <w:r>
        <w:rPr>
          <w:rFonts w:ascii="Arial" w:cs="Arial" w:eastAsia="Arial" w:hAnsi="Arial"/>
          <w:b w:val="false"/>
          <w:bCs w:val="false"/>
          <w:color w:val="1A1A1A"/>
          <w:sz w:val="22"/>
          <w:szCs w:val="22"/>
        </w:rPr>
        <w:t xml:space="preserve">Merged sections: For subjects with low enrolment, two sections can be merged into one session assigned to one teacher with automated notification to both section students.</w:t>
      </w:r>
    </w:p>
    <w:p>
      <w:pPr>
        <w:pStyle w:val="ListParagraph"/>
        <w:numPr>
          <w:ilvl w:val="0"/>
          <w:numId w:val="2"/>
        </w:numPr>
        <w:spacing w:before="60" w:after="60"/>
      </w:pPr>
      <w:r>
        <w:rPr>
          <w:rFonts w:ascii="Arial" w:cs="Arial" w:eastAsia="Arial" w:hAnsi="Arial"/>
          <w:b w:val="false"/>
          <w:bCs w:val="false"/>
          <w:color w:val="1A1A1A"/>
          <w:sz w:val="22"/>
          <w:szCs w:val="22"/>
        </w:rPr>
        <w:t xml:space="preserve">Lab/practical groups: Student sections are subdivided into smaller lab groups (typically 15–20 students) for practical sessions, each sub-group mapped to a session.</w:t>
      </w:r>
    </w:p>
    <w:p>
      <w:pPr>
        <w:spacing w:before="40" w:after="40"/>
      </w:pPr>
      <w:r>
        <w:t xml:space="preserve"/>
      </w:r>
    </w:p>
    <w:p>
      <w:pPr>
        <w:spacing w:before="220" w:after="80"/>
      </w:pPr>
      <w:r>
        <w:rPr>
          <w:rFonts w:ascii="Arial" w:cs="Arial" w:eastAsia="Arial" w:hAnsi="Arial"/>
          <w:b/>
          <w:bCs/>
          <w:color w:val="7B3FA0"/>
          <w:sz w:val="24"/>
          <w:szCs w:val="24"/>
        </w:rPr>
        <w:t xml:space="preserve">4.2.3 Classroom &amp; Resource Assignment</w:t>
      </w:r>
    </w:p>
    <w:p>
      <w:pPr>
        <w:pStyle w:val="ListParagraph"/>
        <w:numPr>
          <w:ilvl w:val="0"/>
          <w:numId w:val="2"/>
        </w:numPr>
        <w:spacing w:before="60" w:after="60"/>
      </w:pPr>
      <w:r>
        <w:rPr>
          <w:rFonts w:ascii="Arial" w:cs="Arial" w:eastAsia="Arial" w:hAnsi="Arial"/>
          <w:b w:val="false"/>
          <w:bCs w:val="false"/>
          <w:color w:val="1A1A1A"/>
          <w:sz w:val="22"/>
          <w:szCs w:val="22"/>
        </w:rPr>
        <w:t xml:space="preserve">Each class session is assigned a physical or virtual classroom based on student count, subject type (lecture/lab/seminar), and AV equipment requirements.</w:t>
      </w:r>
    </w:p>
    <w:p>
      <w:pPr>
        <w:pStyle w:val="ListParagraph"/>
        <w:numPr>
          <w:ilvl w:val="0"/>
          <w:numId w:val="2"/>
        </w:numPr>
        <w:spacing w:before="60" w:after="60"/>
      </w:pPr>
      <w:r>
        <w:rPr>
          <w:rFonts w:ascii="Arial" w:cs="Arial" w:eastAsia="Arial" w:hAnsi="Arial"/>
          <w:b w:val="false"/>
          <w:bCs w:val="false"/>
          <w:color w:val="1A1A1A"/>
          <w:sz w:val="22"/>
          <w:szCs w:val="22"/>
        </w:rPr>
        <w:t xml:space="preserve">Smart room matching: System matches room capacity to section size (no oversized allocation without justification), prioritises labs for practical sessions, and ensures projector/smartboard availability for tech-heavy subjects.</w:t>
      </w:r>
    </w:p>
    <w:p>
      <w:pPr>
        <w:pStyle w:val="ListParagraph"/>
        <w:numPr>
          <w:ilvl w:val="0"/>
          <w:numId w:val="2"/>
        </w:numPr>
        <w:spacing w:before="60" w:after="60"/>
      </w:pPr>
      <w:r>
        <w:rPr>
          <w:rFonts w:ascii="Arial" w:cs="Arial" w:eastAsia="Arial" w:hAnsi="Arial"/>
          <w:b w:val="false"/>
          <w:bCs w:val="false"/>
          <w:color w:val="1A1A1A"/>
          <w:sz w:val="22"/>
          <w:szCs w:val="22"/>
        </w:rPr>
        <w:t xml:space="preserve">Virtual classroom links (Zoom/Google Meet/platform-hosted) auto-generated and attached to online sessions.</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 reservation: Specialised equipment bookings (oscilloscopes, 3D printers, medical mannequins) triggered automatically based on subject type.</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4.3 Schedule Publication &amp; Communication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Published timetable is visible to all assigned teachers and enrolled students on the first day of semester.</w:t>
      </w:r>
    </w:p>
    <w:p>
      <w:pPr>
        <w:pStyle w:val="ListParagraph"/>
        <w:numPr>
          <w:ilvl w:val="0"/>
          <w:numId w:val="2"/>
        </w:numPr>
        <w:spacing w:before="60" w:after="60"/>
      </w:pPr>
      <w:r>
        <w:rPr>
          <w:rFonts w:ascii="Arial" w:cs="Arial" w:eastAsia="Arial" w:hAnsi="Arial"/>
          <w:b w:val="false"/>
          <w:bCs w:val="false"/>
          <w:color w:val="1A1A1A"/>
          <w:sz w:val="22"/>
          <w:szCs w:val="22"/>
        </w:rPr>
        <w:t xml:space="preserve">Individual teacher view: Shows only that teacher's assigned sessions across the week with room details, section size, and subject code.</w:t>
      </w:r>
    </w:p>
    <w:p>
      <w:pPr>
        <w:pStyle w:val="ListParagraph"/>
        <w:numPr>
          <w:ilvl w:val="0"/>
          <w:numId w:val="2"/>
        </w:numPr>
        <w:spacing w:before="60" w:after="60"/>
      </w:pPr>
      <w:r>
        <w:rPr>
          <w:rFonts w:ascii="Arial" w:cs="Arial" w:eastAsia="Arial" w:hAnsi="Arial"/>
          <w:b w:val="false"/>
          <w:bCs w:val="false"/>
          <w:color w:val="1A1A1A"/>
          <w:sz w:val="22"/>
          <w:szCs w:val="22"/>
        </w:rPr>
        <w:t xml:space="preserve">Student view: Personalised timetable based on section and enrolled electives.</w:t>
      </w:r>
    </w:p>
    <w:p>
      <w:pPr>
        <w:pStyle w:val="ListParagraph"/>
        <w:numPr>
          <w:ilvl w:val="0"/>
          <w:numId w:val="2"/>
        </w:numPr>
        <w:spacing w:before="60" w:after="60"/>
      </w:pPr>
      <w:r>
        <w:rPr>
          <w:rFonts w:ascii="Arial" w:cs="Arial" w:eastAsia="Arial" w:hAnsi="Arial"/>
          <w:b w:val="false"/>
          <w:bCs w:val="false"/>
          <w:color w:val="1A1A1A"/>
          <w:sz w:val="22"/>
          <w:szCs w:val="22"/>
        </w:rPr>
        <w:t xml:space="preserve">iCal export: Teachers and students can export their timetable to Google Calendar, Outlook, or Apple Calendar with one click.</w:t>
      </w:r>
    </w:p>
    <w:p>
      <w:pPr>
        <w:pStyle w:val="ListParagraph"/>
        <w:numPr>
          <w:ilvl w:val="0"/>
          <w:numId w:val="2"/>
        </w:numPr>
        <w:spacing w:before="60" w:after="60"/>
      </w:pPr>
      <w:r>
        <w:rPr>
          <w:rFonts w:ascii="Arial" w:cs="Arial" w:eastAsia="Arial" w:hAnsi="Arial"/>
          <w:b w:val="false"/>
          <w:bCs w:val="false"/>
          <w:color w:val="1A1A1A"/>
          <w:sz w:val="22"/>
          <w:szCs w:val="22"/>
        </w:rPr>
        <w:t xml:space="preserve">Change notifications: Any mid-semester schedule change (room swap, rescheduled session, substitute assignment) triggers immediate push notification to all affected parties.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4.4 Substitute &amp; Makeup Class Management</w:t>
      </w:r>
    </w:p>
    <w:p>
      <w:pPr>
        <w:pStyle w:val="ListParagraph"/>
        <w:numPr>
          <w:ilvl w:val="0"/>
          <w:numId w:val="2"/>
        </w:numPr>
        <w:spacing w:before="60" w:after="60"/>
      </w:pPr>
      <w:r>
        <w:rPr>
          <w:rFonts w:ascii="Arial" w:cs="Arial" w:eastAsia="Arial" w:hAnsi="Arial"/>
          <w:b w:val="false"/>
          <w:bCs w:val="false"/>
          <w:color w:val="1A1A1A"/>
          <w:sz w:val="22"/>
          <w:szCs w:val="22"/>
        </w:rPr>
        <w:t xml:space="preserve">When a teacher is absent, the system suggests eligible substitute teachers based on subject qualification and current-day availability.</w:t>
      </w:r>
    </w:p>
    <w:p>
      <w:pPr>
        <w:pStyle w:val="ListParagraph"/>
        <w:numPr>
          <w:ilvl w:val="0"/>
          <w:numId w:val="2"/>
        </w:numPr>
        <w:spacing w:before="60" w:after="60"/>
      </w:pPr>
      <w:r>
        <w:rPr>
          <w:rFonts w:ascii="Arial" w:cs="Arial" w:eastAsia="Arial" w:hAnsi="Arial"/>
          <w:b w:val="false"/>
          <w:bCs w:val="false"/>
          <w:color w:val="1A1A1A"/>
          <w:sz w:val="22"/>
          <w:szCs w:val="22"/>
        </w:rPr>
        <w:t xml:space="preserve">Substitute assignments are time-limited (per session) and distinguished from permanent allocations in all reports.</w:t>
      </w:r>
    </w:p>
    <w:p>
      <w:pPr>
        <w:pStyle w:val="ListParagraph"/>
        <w:numPr>
          <w:ilvl w:val="0"/>
          <w:numId w:val="2"/>
        </w:numPr>
        <w:spacing w:before="60" w:after="60"/>
      </w:pPr>
      <w:r>
        <w:rPr>
          <w:rFonts w:ascii="Arial" w:cs="Arial" w:eastAsia="Arial" w:hAnsi="Arial"/>
          <w:b w:val="false"/>
          <w:bCs w:val="false"/>
          <w:color w:val="1A1A1A"/>
          <w:sz w:val="22"/>
          <w:szCs w:val="22"/>
        </w:rPr>
        <w:t xml:space="preserve">Makeup class scheduling: When sessions are cancelled, the system identifies free slots in the teacher's and classroom's schedules and proposes makeup times with one-click confirmation.</w:t>
      </w:r>
    </w:p>
    <w:p>
      <w:pPr>
        <w:pStyle w:val="ListParagraph"/>
        <w:numPr>
          <w:ilvl w:val="0"/>
          <w:numId w:val="2"/>
        </w:numPr>
        <w:spacing w:before="60" w:after="60"/>
      </w:pPr>
      <w:r>
        <w:rPr>
          <w:rFonts w:ascii="Arial" w:cs="Arial" w:eastAsia="Arial" w:hAnsi="Arial"/>
          <w:b w:val="false"/>
          <w:bCs w:val="false"/>
          <w:color w:val="1A1A1A"/>
          <w:sz w:val="22"/>
          <w:szCs w:val="22"/>
        </w:rPr>
        <w:t xml:space="preserve">All substitutions and makeup classes are logged against the original teacher's attendance and workload records.</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5: Mentor Allocation</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5.1 Overview</w:t>
      </w:r>
    </w:p>
    <w:p>
      <w:pPr>
        <w:spacing w:before="80" w:after="80"/>
      </w:pPr>
      <w:r>
        <w:rPr>
          <w:rFonts w:ascii="Arial" w:cs="Arial" w:eastAsia="Arial" w:hAnsi="Arial"/>
          <w:color w:val="1A1A1A"/>
          <w:sz w:val="22"/>
          <w:szCs w:val="22"/>
        </w:rPr>
        <w:t xml:space="preserve">Mentor Allocation is the structured process of assigning faculty members as academic mentors to individual students or student groups for pastoral care, academic guidance, project supervision, and career counselling. Unlike subject teaching (which is transactional and academic), mentoring is a sustained, relationship-based support function that requires careful matching of mentor capability, student needs, and load balancing. EcoSkiller's Mentor Allocation system ensures every student has an identified mentor, every mentor has a manageable load, and every mentoring relationship is tracked, evaluated, and supported.</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5.2 Types of Mentoring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Academic Mentor (Class Mentor)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Assigned to a group of 20–30 students for general academic progress monitoring, attendance concerns, grievance handling, and semester guidance</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Project Mentor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Assigned to individual students or teams for final year projects, dissertation guidance, or research projects — deep, domain-specific guidance over 1–2 semesters</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Career Mentor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Assigned to final-year students for placement preparation, resume review, mock interview coaching, and industry networking facilitation</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Skill Development Mentor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Assigned for specific skill improvement programmes — short-term, targeted mentoring for students identified as needing supplementary support</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Research Supervisor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Assigned to PhD/MPhil students for thesis guidance, literature review, data collection, and publication support — long-duration, intensive mentoring</w:t>
            </w:r>
          </w:p>
        </w:tc>
      </w:tr>
    </w:tbl>
    <w:p>
      <w:pPr>
        <w:spacing w:before="40" w:after="40"/>
      </w:pPr>
      <w:r>
        <w:t xml:space="preserve"/>
      </w:r>
    </w:p>
    <w:p>
      <w:pPr>
        <w:pStyle w:val="Heading2"/>
        <w:spacing w:before="300" w:after="120"/>
      </w:pPr>
      <w:r>
        <w:rPr>
          <w:rFonts w:ascii="Arial" w:cs="Arial" w:eastAsia="Arial" w:hAnsi="Arial"/>
          <w:b/>
          <w:bCs/>
          <w:color w:val="2563A8"/>
          <w:sz w:val="28"/>
          <w:szCs w:val="28"/>
        </w:rPr>
        <w:t xml:space="preserve">5.3 Allocation Criteria &amp; Matching Logic</w:t>
      </w:r>
    </w:p>
    <w:p>
      <w:pPr>
        <w:spacing w:before="220" w:after="80"/>
      </w:pPr>
      <w:r>
        <w:rPr>
          <w:rFonts w:ascii="Arial" w:cs="Arial" w:eastAsia="Arial" w:hAnsi="Arial"/>
          <w:b/>
          <w:bCs/>
          <w:color w:val="7B3FA0"/>
          <w:sz w:val="24"/>
          <w:szCs w:val="24"/>
        </w:rPr>
        <w:t xml:space="preserve">5.3.1 Academic Mentor Matching</w:t>
      </w:r>
    </w:p>
    <w:p>
      <w:pPr>
        <w:pStyle w:val="ListParagraph"/>
        <w:numPr>
          <w:ilvl w:val="0"/>
          <w:numId w:val="2"/>
        </w:numPr>
        <w:spacing w:before="60" w:after="60"/>
      </w:pPr>
      <w:r>
        <w:rPr>
          <w:rFonts w:ascii="Arial" w:cs="Arial" w:eastAsia="Arial" w:hAnsi="Arial"/>
          <w:b w:val="false"/>
          <w:bCs w:val="false"/>
          <w:color w:val="1A1A1A"/>
          <w:sz w:val="22"/>
          <w:szCs w:val="22"/>
        </w:rPr>
        <w:t xml:space="preserve">Department alignment: Students are preferentially assigned to mentors within their department.</w:t>
      </w:r>
    </w:p>
    <w:p>
      <w:pPr>
        <w:pStyle w:val="ListParagraph"/>
        <w:numPr>
          <w:ilvl w:val="0"/>
          <w:numId w:val="2"/>
        </w:numPr>
        <w:spacing w:before="60" w:after="60"/>
      </w:pPr>
      <w:r>
        <w:rPr>
          <w:rFonts w:ascii="Arial" w:cs="Arial" w:eastAsia="Arial" w:hAnsi="Arial"/>
          <w:b w:val="false"/>
          <w:bCs w:val="false"/>
          <w:color w:val="1A1A1A"/>
          <w:sz w:val="22"/>
          <w:szCs w:val="22"/>
        </w:rPr>
        <w:t xml:space="preserve">Load balancing: System distributes students as evenly as possible across eligible mentors (target: 20–30 students per mentor).</w:t>
      </w:r>
    </w:p>
    <w:p>
      <w:pPr>
        <w:pStyle w:val="ListParagraph"/>
        <w:numPr>
          <w:ilvl w:val="0"/>
          <w:numId w:val="2"/>
        </w:numPr>
        <w:spacing w:before="60" w:after="60"/>
      </w:pPr>
      <w:r>
        <w:rPr>
          <w:rFonts w:ascii="Arial" w:cs="Arial" w:eastAsia="Arial" w:hAnsi="Arial"/>
          <w:b w:val="false"/>
          <w:bCs w:val="false"/>
          <w:color w:val="1A1A1A"/>
          <w:sz w:val="22"/>
          <w:szCs w:val="22"/>
        </w:rPr>
        <w:t xml:space="preserve">Continuity: Where possible, the same mentor is retained across multiple semesters to maintain relationship depth.</w:t>
      </w:r>
    </w:p>
    <w:p>
      <w:pPr>
        <w:pStyle w:val="ListParagraph"/>
        <w:numPr>
          <w:ilvl w:val="0"/>
          <w:numId w:val="2"/>
        </w:numPr>
        <w:spacing w:before="60" w:after="60"/>
      </w:pPr>
      <w:r>
        <w:rPr>
          <w:rFonts w:ascii="Arial" w:cs="Arial" w:eastAsia="Arial" w:hAnsi="Arial"/>
          <w:b w:val="false"/>
          <w:bCs w:val="false"/>
          <w:color w:val="1A1A1A"/>
          <w:sz w:val="22"/>
          <w:szCs w:val="22"/>
        </w:rPr>
        <w:t xml:space="preserve">Student preference: Final-year students may indicate a preferred mentor; the system accommodates within load constraints.</w:t>
      </w:r>
    </w:p>
    <w:p>
      <w:pPr>
        <w:spacing w:before="40" w:after="40"/>
      </w:pPr>
      <w:r>
        <w:t xml:space="preserve"/>
      </w:r>
    </w:p>
    <w:p>
      <w:pPr>
        <w:spacing w:before="220" w:after="80"/>
      </w:pPr>
      <w:r>
        <w:rPr>
          <w:rFonts w:ascii="Arial" w:cs="Arial" w:eastAsia="Arial" w:hAnsi="Arial"/>
          <w:b/>
          <w:bCs/>
          <w:color w:val="7B3FA0"/>
          <w:sz w:val="24"/>
          <w:szCs w:val="24"/>
        </w:rPr>
        <w:t xml:space="preserve">5.3.2 Project Mentor Matching</w:t>
      </w:r>
    </w:p>
    <w:p>
      <w:pPr>
        <w:pStyle w:val="ListParagraph"/>
        <w:numPr>
          <w:ilvl w:val="0"/>
          <w:numId w:val="2"/>
        </w:numPr>
        <w:spacing w:before="60" w:after="60"/>
      </w:pPr>
      <w:r>
        <w:rPr>
          <w:rFonts w:ascii="Arial" w:cs="Arial" w:eastAsia="Arial" w:hAnsi="Arial"/>
          <w:b w:val="false"/>
          <w:bCs w:val="false"/>
          <w:color w:val="1A1A1A"/>
          <w:sz w:val="22"/>
          <w:szCs w:val="22"/>
        </w:rPr>
        <w:t xml:space="preserve">Domain expertise match: Project topics are matched to mentors whose declared expertise overlaps with the project domain.</w:t>
      </w:r>
    </w:p>
    <w:p>
      <w:pPr>
        <w:pStyle w:val="ListParagraph"/>
        <w:numPr>
          <w:ilvl w:val="0"/>
          <w:numId w:val="2"/>
        </w:numPr>
        <w:spacing w:before="60" w:after="60"/>
      </w:pPr>
      <w:r>
        <w:rPr>
          <w:rFonts w:ascii="Arial" w:cs="Arial" w:eastAsia="Arial" w:hAnsi="Arial"/>
          <w:b w:val="false"/>
          <w:bCs w:val="false"/>
          <w:color w:val="1A1A1A"/>
          <w:sz w:val="22"/>
          <w:szCs w:val="22"/>
        </w:rPr>
        <w:t xml:space="preserve">Research depth: PhD holders or faculty with active research projects are prioritised for research-intensive final year projects.</w:t>
      </w:r>
    </w:p>
    <w:p>
      <w:pPr>
        <w:pStyle w:val="ListParagraph"/>
        <w:numPr>
          <w:ilvl w:val="0"/>
          <w:numId w:val="2"/>
        </w:numPr>
        <w:spacing w:before="60" w:after="60"/>
      </w:pPr>
      <w:r>
        <w:rPr>
          <w:rFonts w:ascii="Arial" w:cs="Arial" w:eastAsia="Arial" w:hAnsi="Arial"/>
          <w:b w:val="false"/>
          <w:bCs w:val="false"/>
          <w:color w:val="1A1A1A"/>
          <w:sz w:val="22"/>
          <w:szCs w:val="22"/>
        </w:rPr>
        <w:t xml:space="preserve">Past guidance success rate: Mentors with high project completion rates and strong past student evaluations are given priority in the recommendation.</w:t>
      </w:r>
    </w:p>
    <w:p>
      <w:pPr>
        <w:pStyle w:val="ListParagraph"/>
        <w:numPr>
          <w:ilvl w:val="0"/>
          <w:numId w:val="2"/>
        </w:numPr>
        <w:spacing w:before="60" w:after="60"/>
      </w:pPr>
      <w:r>
        <w:rPr>
          <w:rFonts w:ascii="Arial" w:cs="Arial" w:eastAsia="Arial" w:hAnsi="Arial"/>
          <w:b w:val="false"/>
          <w:bCs w:val="false"/>
          <w:color w:val="1A1A1A"/>
          <w:sz w:val="22"/>
          <w:szCs w:val="22"/>
        </w:rPr>
        <w:t xml:space="preserve">Co-mentor option: For interdisciplinary projects, two mentors with complementary expertise can be co-assigned — one primary, one secondary.</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5.4 Mentor Allocation Workflow</w:t>
      </w:r>
    </w:p>
    <w:p>
      <w:pPr>
        <w:pStyle w:val="ListParagraph"/>
        <w:numPr>
          <w:ilvl w:val="0"/>
          <w:numId w:val="2"/>
        </w:numPr>
        <w:spacing w:before="60" w:after="60"/>
      </w:pPr>
      <w:r>
        <w:rPr>
          <w:rFonts w:ascii="Arial" w:cs="Arial" w:eastAsia="Arial" w:hAnsi="Arial"/>
          <w:b w:val="false"/>
          <w:bCs w:val="false"/>
          <w:color w:val="1A1A1A"/>
          <w:sz w:val="22"/>
          <w:szCs w:val="22"/>
        </w:rPr>
        <w:t xml:space="preserve">Step 1: System generates a proposed allocation plan for all mentor types at the start of each semester/year.</w:t>
      </w:r>
    </w:p>
    <w:p>
      <w:pPr>
        <w:pStyle w:val="ListParagraph"/>
        <w:numPr>
          <w:ilvl w:val="0"/>
          <w:numId w:val="2"/>
        </w:numPr>
        <w:spacing w:before="60" w:after="60"/>
      </w:pPr>
      <w:r>
        <w:rPr>
          <w:rFonts w:ascii="Arial" w:cs="Arial" w:eastAsia="Arial" w:hAnsi="Arial"/>
          <w:b w:val="false"/>
          <w:bCs w:val="false"/>
          <w:color w:val="1A1A1A"/>
          <w:sz w:val="22"/>
          <w:szCs w:val="22"/>
        </w:rPr>
        <w:t xml:space="preserve">Step 2: Department heads review and adjust allocations, with full visibility into each mentor's current total load across all mentoring types.</w:t>
      </w:r>
    </w:p>
    <w:p>
      <w:pPr>
        <w:pStyle w:val="ListParagraph"/>
        <w:numPr>
          <w:ilvl w:val="0"/>
          <w:numId w:val="2"/>
        </w:numPr>
        <w:spacing w:before="60" w:after="60"/>
      </w:pPr>
      <w:r>
        <w:rPr>
          <w:rFonts w:ascii="Arial" w:cs="Arial" w:eastAsia="Arial" w:hAnsi="Arial"/>
          <w:b w:val="false"/>
          <w:bCs w:val="false"/>
          <w:color w:val="1A1A1A"/>
          <w:sz w:val="22"/>
          <w:szCs w:val="22"/>
        </w:rPr>
        <w:t xml:space="preserve">Step 3: Mentors receive allocation notification and can flag concerns (overload, conflict of interest, or expertise mismatch) within 48 hours.</w:t>
      </w:r>
    </w:p>
    <w:p>
      <w:pPr>
        <w:pStyle w:val="ListParagraph"/>
        <w:numPr>
          <w:ilvl w:val="0"/>
          <w:numId w:val="2"/>
        </w:numPr>
        <w:spacing w:before="60" w:after="60"/>
      </w:pPr>
      <w:r>
        <w:rPr>
          <w:rFonts w:ascii="Arial" w:cs="Arial" w:eastAsia="Arial" w:hAnsi="Arial"/>
          <w:b w:val="false"/>
          <w:bCs w:val="false"/>
          <w:color w:val="1A1A1A"/>
          <w:sz w:val="22"/>
          <w:szCs w:val="22"/>
        </w:rPr>
        <w:t xml:space="preserve">Step 4: Students are notified of their assigned mentor(s) with contact information and a suggested first meeting prompt.</w:t>
      </w:r>
    </w:p>
    <w:p>
      <w:pPr>
        <w:pStyle w:val="ListParagraph"/>
        <w:numPr>
          <w:ilvl w:val="0"/>
          <w:numId w:val="2"/>
        </w:numPr>
        <w:spacing w:before="60" w:after="60"/>
      </w:pPr>
      <w:r>
        <w:rPr>
          <w:rFonts w:ascii="Arial" w:cs="Arial" w:eastAsia="Arial" w:hAnsi="Arial"/>
          <w:b w:val="false"/>
          <w:bCs w:val="false"/>
          <w:color w:val="1A1A1A"/>
          <w:sz w:val="22"/>
          <w:szCs w:val="22"/>
        </w:rPr>
        <w:t xml:space="preserve">Step 5: First mentor-student meeting is tracked as a mandatory check-in event within the first two weeks of semester.</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5.5 Mentoring Activity Tracking</w:t>
      </w:r>
    </w:p>
    <w:p>
      <w:pPr>
        <w:pStyle w:val="ListParagraph"/>
        <w:numPr>
          <w:ilvl w:val="0"/>
          <w:numId w:val="2"/>
        </w:numPr>
        <w:spacing w:before="60" w:after="60"/>
      </w:pPr>
      <w:r>
        <w:rPr>
          <w:rFonts w:ascii="Arial" w:cs="Arial" w:eastAsia="Arial" w:hAnsi="Arial"/>
          <w:b w:val="false"/>
          <w:bCs w:val="false"/>
          <w:color w:val="1A1A1A"/>
          <w:sz w:val="22"/>
          <w:szCs w:val="22"/>
        </w:rPr>
        <w:t xml:space="preserve">All mentor-student interactions logged: meeting dates, duration, topics discussed, action items, and student progress notes.</w:t>
      </w:r>
    </w:p>
    <w:p>
      <w:pPr>
        <w:pStyle w:val="ListParagraph"/>
        <w:numPr>
          <w:ilvl w:val="0"/>
          <w:numId w:val="2"/>
        </w:numPr>
        <w:spacing w:before="60" w:after="60"/>
      </w:pPr>
      <w:r>
        <w:rPr>
          <w:rFonts w:ascii="Arial" w:cs="Arial" w:eastAsia="Arial" w:hAnsi="Arial"/>
          <w:b w:val="false"/>
          <w:bCs w:val="false"/>
          <w:color w:val="1A1A1A"/>
          <w:sz w:val="22"/>
          <w:szCs w:val="22"/>
        </w:rPr>
        <w:t xml:space="preserve">Mandatory meeting frequency enforced: System flags mentor-student pairs that have not had a recorded interaction in the configured maximum interval (e.g., 4 weeks).</w:t>
      </w:r>
    </w:p>
    <w:p>
      <w:pPr>
        <w:pStyle w:val="ListParagraph"/>
        <w:numPr>
          <w:ilvl w:val="0"/>
          <w:numId w:val="2"/>
        </w:numPr>
        <w:spacing w:before="60" w:after="60"/>
      </w:pPr>
      <w:r>
        <w:rPr>
          <w:rFonts w:ascii="Arial" w:cs="Arial" w:eastAsia="Arial" w:hAnsi="Arial"/>
          <w:b w:val="false"/>
          <w:bCs w:val="false"/>
          <w:color w:val="1A1A1A"/>
          <w:sz w:val="22"/>
          <w:szCs w:val="22"/>
        </w:rPr>
        <w:t xml:space="preserve">Student satisfaction rating collected at the end of each semester — anonymous, 5-point scale with optional written feedback.</w:t>
      </w:r>
    </w:p>
    <w:p>
      <w:pPr>
        <w:pStyle w:val="ListParagraph"/>
        <w:numPr>
          <w:ilvl w:val="0"/>
          <w:numId w:val="2"/>
        </w:numPr>
        <w:spacing w:before="60" w:after="60"/>
      </w:pPr>
      <w:r>
        <w:rPr>
          <w:rFonts w:ascii="Arial" w:cs="Arial" w:eastAsia="Arial" w:hAnsi="Arial"/>
          <w:b w:val="false"/>
          <w:bCs w:val="false"/>
          <w:color w:val="1A1A1A"/>
          <w:sz w:val="22"/>
          <w:szCs w:val="22"/>
        </w:rPr>
        <w:t xml:space="preserve">Mentor responsiveness score: Measured by how quickly mentors respond to student queries raised through the platform's mentoring channel.</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6: Teacher Certification Validation</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6.1 Overview</w:t>
      </w:r>
    </w:p>
    <w:p>
      <w:pPr>
        <w:spacing w:before="80" w:after="80"/>
      </w:pPr>
      <w:r>
        <w:rPr>
          <w:rFonts w:ascii="Arial" w:cs="Arial" w:eastAsia="Arial" w:hAnsi="Arial"/>
          <w:color w:val="1A1A1A"/>
          <w:sz w:val="22"/>
          <w:szCs w:val="22"/>
        </w:rPr>
        <w:t xml:space="preserve">Teacher Certification Validation is the systematic process of verifying the authenticity, currency, and relevance of all academic qualifications, professional certifications, and regulatory compliance credentials held by faculty members. It ensures that subject allocations, tenure decisions, and UGC/AICTE compliance reporting are based on verified credentials — not self-declarations. The system combines automated document verification tools, third-party API integrations with issuing bodies, and structured manual review workflows to create a high-confidence credential repository for every faculty member.</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6.2 Credential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Credential Type</w:t>
            </w:r>
          </w:p>
        </w:tc>
        <w:tc>
          <w:tcPr>
            <w:tcW w:type="dxa" w:w="376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Validation Method</w:t>
            </w:r>
          </w:p>
        </w:tc>
        <w:tc>
          <w:tcPr>
            <w:tcW w:type="dxa" w:w="30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Revalidation Frequency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Academic Degrees (UG/PG/PhD)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 OCR + university verification API + manual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One-time (permanent)</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UGC NET / SET / SLET</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NTA/State agency result database cross-check</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One-time (permanent)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Industry Certifications (AWS, Google, etc.)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Certificate URL / QR code verification via issuer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 expiry date (issuer-defined)</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NPTEL / SWAYAM Certifications</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NPTEL API lookup by roll number and course code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No expiry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Research Publications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DOI cross-reference with Crossref/Scopus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 each new submission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Patent Grants</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IPO / USPTO filing number lookup</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At each registration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NAAC/NBA Compliance 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Internal document review + accreditation body 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 accreditation cycle</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Mandatory Training Completions</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Platform-internal completion records (auto-validated)</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Per training cycle</w:t>
            </w:r>
          </w:p>
        </w:tc>
      </w:tr>
    </w:tbl>
    <w:p>
      <w:pPr>
        <w:spacing w:before="40" w:after="40"/>
      </w:pPr>
      <w:r>
        <w:t xml:space="preserve"/>
      </w:r>
    </w:p>
    <w:p>
      <w:pPr>
        <w:pStyle w:val="Heading2"/>
        <w:spacing w:before="300" w:after="120"/>
      </w:pPr>
      <w:r>
        <w:rPr>
          <w:rFonts w:ascii="Arial" w:cs="Arial" w:eastAsia="Arial" w:hAnsi="Arial"/>
          <w:b/>
          <w:bCs/>
          <w:color w:val="2563A8"/>
          <w:sz w:val="28"/>
          <w:szCs w:val="28"/>
        </w:rPr>
        <w:t xml:space="preserve">6.3 Validation Workflow</w:t>
      </w:r>
    </w:p>
    <w:p>
      <w:pPr>
        <w:pStyle w:val="ListParagraph"/>
        <w:numPr>
          <w:ilvl w:val="0"/>
          <w:numId w:val="2"/>
        </w:numPr>
        <w:spacing w:before="60" w:after="60"/>
      </w:pPr>
      <w:r>
        <w:rPr>
          <w:rFonts w:ascii="Arial" w:cs="Arial" w:eastAsia="Arial" w:hAnsi="Arial"/>
          <w:b w:val="false"/>
          <w:bCs w:val="false"/>
          <w:color w:val="1A1A1A"/>
          <w:sz w:val="22"/>
          <w:szCs w:val="22"/>
        </w:rPr>
        <w:t xml:space="preserve">Step 1 — Submission: Teacher uploads credential document to their profile vault. System auto-detects credential type from filename and content using OCR.</w:t>
      </w:r>
    </w:p>
    <w:p>
      <w:pPr>
        <w:pStyle w:val="ListParagraph"/>
        <w:numPr>
          <w:ilvl w:val="0"/>
          <w:numId w:val="2"/>
        </w:numPr>
        <w:spacing w:before="60" w:after="60"/>
      </w:pPr>
      <w:r>
        <w:rPr>
          <w:rFonts w:ascii="Arial" w:cs="Arial" w:eastAsia="Arial" w:hAnsi="Arial"/>
          <w:b w:val="false"/>
          <w:bCs w:val="false"/>
          <w:color w:val="1A1A1A"/>
          <w:sz w:val="22"/>
          <w:szCs w:val="22"/>
        </w:rPr>
        <w:t xml:space="preserve">Step 2 — Automated Scan: OCR extracts key fields (issuing institution, roll number, year, subject). System queries the relevant verification API or internal reference database.</w:t>
      </w:r>
    </w:p>
    <w:p>
      <w:pPr>
        <w:pStyle w:val="ListParagraph"/>
        <w:numPr>
          <w:ilvl w:val="0"/>
          <w:numId w:val="2"/>
        </w:numPr>
        <w:spacing w:before="60" w:after="60"/>
      </w:pPr>
      <w:r>
        <w:rPr>
          <w:rFonts w:ascii="Arial" w:cs="Arial" w:eastAsia="Arial" w:hAnsi="Arial"/>
          <w:b w:val="false"/>
          <w:bCs w:val="false"/>
          <w:color w:val="1A1A1A"/>
          <w:sz w:val="22"/>
          <w:szCs w:val="22"/>
        </w:rPr>
        <w:t xml:space="preserve">Step 3 — Match Assessment: System classifies the credential as Verified (API match confirmed), Probable (OCR extracted but API not available), or Flagged (data mismatch detected).</w:t>
      </w:r>
    </w:p>
    <w:p>
      <w:pPr>
        <w:pStyle w:val="ListParagraph"/>
        <w:numPr>
          <w:ilvl w:val="0"/>
          <w:numId w:val="2"/>
        </w:numPr>
        <w:spacing w:before="60" w:after="60"/>
      </w:pPr>
      <w:r>
        <w:rPr>
          <w:rFonts w:ascii="Arial" w:cs="Arial" w:eastAsia="Arial" w:hAnsi="Arial"/>
          <w:b w:val="false"/>
          <w:bCs w:val="false"/>
          <w:color w:val="1A1A1A"/>
          <w:sz w:val="22"/>
          <w:szCs w:val="22"/>
        </w:rPr>
        <w:t xml:space="preserve">Step 4 — Manual Review Queue: Flagged credentials are routed to the admin's review queue with the original document, OCR extraction, and the specific mismatch highlighted.</w:t>
      </w:r>
    </w:p>
    <w:p>
      <w:pPr>
        <w:pStyle w:val="ListParagraph"/>
        <w:numPr>
          <w:ilvl w:val="0"/>
          <w:numId w:val="2"/>
        </w:numPr>
        <w:spacing w:before="60" w:after="60"/>
      </w:pPr>
      <w:r>
        <w:rPr>
          <w:rFonts w:ascii="Arial" w:cs="Arial" w:eastAsia="Arial" w:hAnsi="Arial"/>
          <w:b w:val="false"/>
          <w:bCs w:val="false"/>
          <w:color w:val="1A1A1A"/>
          <w:sz w:val="22"/>
          <w:szCs w:val="22"/>
        </w:rPr>
        <w:t xml:space="preserve">Step 5 — Decision &amp; Record: Admin confirms, requests re-upload, or marks as invalid. Decision is logged with admin name, timestamp, and justification.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Step 6 — Expiry Monitoring: Credentials with expiry dates are monitored continuously. Automated reminders sent 90, 30, and 7 days before expiry.</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6.4 Compliance Reporting</w:t>
      </w:r>
    </w:p>
    <w:p>
      <w:pPr>
        <w:pStyle w:val="ListParagraph"/>
        <w:numPr>
          <w:ilvl w:val="0"/>
          <w:numId w:val="2"/>
        </w:numPr>
        <w:spacing w:before="60" w:after="60"/>
      </w:pPr>
      <w:r>
        <w:rPr>
          <w:rFonts w:ascii="Arial" w:cs="Arial" w:eastAsia="Arial" w:hAnsi="Arial"/>
          <w:b w:val="false"/>
          <w:bCs w:val="false"/>
          <w:color w:val="1A1A1A"/>
          <w:sz w:val="22"/>
          <w:szCs w:val="22"/>
        </w:rPr>
        <w:t xml:space="preserve">NAAC compliance credential report: Auto-generated report mapping all verified faculty credentials to NAAC criteria format — directly usable in accreditation submissions.</w:t>
      </w:r>
    </w:p>
    <w:p>
      <w:pPr>
        <w:pStyle w:val="ListParagraph"/>
        <w:numPr>
          <w:ilvl w:val="0"/>
          <w:numId w:val="2"/>
        </w:numPr>
        <w:spacing w:before="60" w:after="60"/>
      </w:pPr>
      <w:r>
        <w:rPr>
          <w:rFonts w:ascii="Arial" w:cs="Arial" w:eastAsia="Arial" w:hAnsi="Arial"/>
          <w:b w:val="false"/>
          <w:bCs w:val="false"/>
          <w:color w:val="1A1A1A"/>
          <w:sz w:val="22"/>
          <w:szCs w:val="22"/>
        </w:rPr>
        <w:t xml:space="preserve">Regulatory gap alerts: System identifies faculty members whose credential profile does not meet UGC/AICTE minimum qualification norms for their designation and flags for HR action.</w:t>
      </w:r>
    </w:p>
    <w:p>
      <w:pPr>
        <w:pStyle w:val="ListParagraph"/>
        <w:numPr>
          <w:ilvl w:val="0"/>
          <w:numId w:val="2"/>
        </w:numPr>
        <w:spacing w:before="60" w:after="60"/>
      </w:pPr>
      <w:r>
        <w:rPr>
          <w:rFonts w:ascii="Arial" w:cs="Arial" w:eastAsia="Arial" w:hAnsi="Arial"/>
          <w:b w:val="false"/>
          <w:bCs w:val="false"/>
          <w:color w:val="1A1A1A"/>
          <w:sz w:val="22"/>
          <w:szCs w:val="22"/>
        </w:rPr>
        <w:t xml:space="preserve">Credential coverage dashboard: Shows the percentage of faculty with fully validated credentials, partially validated, and pending — with drill-down to individual cases.</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7: Teacher Attendance Tracking</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7.1 Overview</w:t>
      </w:r>
    </w:p>
    <w:p>
      <w:pPr>
        <w:spacing w:before="80" w:after="80"/>
      </w:pPr>
      <w:r>
        <w:rPr>
          <w:rFonts w:ascii="Arial" w:cs="Arial" w:eastAsia="Arial" w:hAnsi="Arial"/>
          <w:color w:val="1A1A1A"/>
          <w:sz w:val="22"/>
          <w:szCs w:val="22"/>
        </w:rPr>
        <w:t xml:space="preserve">Teacher Attendance Tracking is the automated, multi-modal system that records, monitors, and reports on faculty presence, punctuality, and session delivery compliance. Unlike student attendance (which is primarily a compliance and academic eligibility matter), teacher attendance tracking serves multiple institutional functions: salary processing, workload verification, leave management, substitute deployment, and performance evaluation. EcoSkiller's system supports multiple attendance capture modes to accommodate institutions with varying levels of technology infrastructure, from biometric devices to mobile app check-ins.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7.2 Attendance Capture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Biometric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Fingerprint or facial recognition devices at entry/exit points; data synced to platform in real-time via API; highest accuracy, zero proxy possibility</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Mobile App Check-In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Teacher checks in via mobile app using GPS geofencing (must be within campus boundary); timestamp and location logged; works even without biometric infrastructure</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QR Code Session Check-In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QR code generated for each scheduled session; teacher scans at session start; confirms both presence and specific class delivery; most granular tracking mode</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Manual Entry (Admin Override)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Admin or HOD manually logs attendance for edge cases (system downtime, off-campus visits, approved remote teaching); creates audit log entry requiring justification</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Smart Card / RFID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NFC/RFID card swipe at campus entry; integrated with existing smart card infrastructure; attendance linked to teacher's platform profile via card ID</w:t>
            </w:r>
          </w:p>
        </w:tc>
      </w:tr>
    </w:tbl>
    <w:p>
      <w:pPr>
        <w:spacing w:before="40" w:after="40"/>
      </w:pPr>
      <w:r>
        <w:t xml:space="preserve"/>
      </w:r>
    </w:p>
    <w:p>
      <w:pPr>
        <w:pStyle w:val="Heading2"/>
        <w:spacing w:before="300" w:after="120"/>
      </w:pPr>
      <w:r>
        <w:rPr>
          <w:rFonts w:ascii="Arial" w:cs="Arial" w:eastAsia="Arial" w:hAnsi="Arial"/>
          <w:b/>
          <w:bCs/>
          <w:color w:val="2563A8"/>
          <w:sz w:val="28"/>
          <w:szCs w:val="28"/>
        </w:rPr>
        <w:t xml:space="preserve">7.3 Attendance Data Points Captured</w:t>
      </w:r>
    </w:p>
    <w:p>
      <w:pPr>
        <w:pStyle w:val="ListParagraph"/>
        <w:numPr>
          <w:ilvl w:val="0"/>
          <w:numId w:val="2"/>
        </w:numPr>
        <w:spacing w:before="60" w:after="60"/>
      </w:pPr>
      <w:r>
        <w:rPr>
          <w:rFonts w:ascii="Arial" w:cs="Arial" w:eastAsia="Arial" w:hAnsi="Arial"/>
          <w:b w:val="false"/>
          <w:bCs w:val="false"/>
          <w:color w:val="1A1A1A"/>
          <w:sz w:val="22"/>
          <w:szCs w:val="22"/>
        </w:rPr>
        <w:t xml:space="preserve">Arrival time, departure time, and total campus hours per day</w:t>
      </w:r>
    </w:p>
    <w:p>
      <w:pPr>
        <w:pStyle w:val="ListParagraph"/>
        <w:numPr>
          <w:ilvl w:val="0"/>
          <w:numId w:val="2"/>
        </w:numPr>
        <w:spacing w:before="60" w:after="60"/>
      </w:pPr>
      <w:r>
        <w:rPr>
          <w:rFonts w:ascii="Arial" w:cs="Arial" w:eastAsia="Arial" w:hAnsi="Arial"/>
          <w:b w:val="false"/>
          <w:bCs w:val="false"/>
          <w:color w:val="1A1A1A"/>
          <w:sz w:val="22"/>
          <w:szCs w:val="22"/>
        </w:rPr>
        <w:t xml:space="preserve">Session-specific records: Which scheduled sessions were delivered, at what time, with start-time deviation from schedule (punctuality score)</w:t>
      </w:r>
    </w:p>
    <w:p>
      <w:pPr>
        <w:pStyle w:val="ListParagraph"/>
        <w:numPr>
          <w:ilvl w:val="0"/>
          <w:numId w:val="2"/>
        </w:numPr>
        <w:spacing w:before="60" w:after="60"/>
      </w:pPr>
      <w:r>
        <w:rPr>
          <w:rFonts w:ascii="Arial" w:cs="Arial" w:eastAsia="Arial" w:hAnsi="Arial"/>
          <w:b w:val="false"/>
          <w:bCs w:val="false"/>
          <w:color w:val="1A1A1A"/>
          <w:sz w:val="22"/>
          <w:szCs w:val="22"/>
        </w:rPr>
        <w:t xml:space="preserve">Early departures: Sessions ended significantly before scheduled end time are flagged</w:t>
      </w:r>
    </w:p>
    <w:p>
      <w:pPr>
        <w:pStyle w:val="ListParagraph"/>
        <w:numPr>
          <w:ilvl w:val="0"/>
          <w:numId w:val="2"/>
        </w:numPr>
        <w:spacing w:before="60" w:after="60"/>
      </w:pPr>
      <w:r>
        <w:rPr>
          <w:rFonts w:ascii="Arial" w:cs="Arial" w:eastAsia="Arial" w:hAnsi="Arial"/>
          <w:b w:val="false"/>
          <w:bCs w:val="false"/>
          <w:color w:val="1A1A1A"/>
          <w:sz w:val="22"/>
          <w:szCs w:val="22"/>
        </w:rPr>
        <w:t xml:space="preserve">Substitute sessions: Sessions covered by a substitute are linked to the original teacher's absence record</w:t>
      </w:r>
    </w:p>
    <w:p>
      <w:pPr>
        <w:pStyle w:val="ListParagraph"/>
        <w:numPr>
          <w:ilvl w:val="0"/>
          <w:numId w:val="2"/>
        </w:numPr>
        <w:spacing w:before="60" w:after="60"/>
      </w:pPr>
      <w:r>
        <w:rPr>
          <w:rFonts w:ascii="Arial" w:cs="Arial" w:eastAsia="Arial" w:hAnsi="Arial"/>
          <w:b w:val="false"/>
          <w:bCs w:val="false"/>
          <w:color w:val="1A1A1A"/>
          <w:sz w:val="22"/>
          <w:szCs w:val="22"/>
        </w:rPr>
        <w:t xml:space="preserve">Leave status cross-reference: Absence records are automatically cross-checked against approved leave requests — unmarked absences trigger alerts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7.4 Leave Management Integration</w:t>
      </w:r>
    </w:p>
    <w:p>
      <w:pPr>
        <w:pStyle w:val="ListParagraph"/>
        <w:numPr>
          <w:ilvl w:val="0"/>
          <w:numId w:val="2"/>
        </w:numPr>
        <w:spacing w:before="60" w:after="60"/>
      </w:pPr>
      <w:r>
        <w:rPr>
          <w:rFonts w:ascii="Arial" w:cs="Arial" w:eastAsia="Arial" w:hAnsi="Arial"/>
          <w:b w:val="false"/>
          <w:bCs w:val="false"/>
          <w:color w:val="1A1A1A"/>
          <w:sz w:val="22"/>
          <w:szCs w:val="22"/>
        </w:rPr>
        <w:t xml:space="preserve">Leave types configured: Casual Leave, Earned Leave, Medical Leave, Maternity/Paternity Leave, Duty Leave (for conferences/workshops), Study Leave</w:t>
      </w:r>
    </w:p>
    <w:p>
      <w:pPr>
        <w:pStyle w:val="ListParagraph"/>
        <w:numPr>
          <w:ilvl w:val="0"/>
          <w:numId w:val="2"/>
        </w:numPr>
        <w:spacing w:before="60" w:after="60"/>
      </w:pPr>
      <w:r>
        <w:rPr>
          <w:rFonts w:ascii="Arial" w:cs="Arial" w:eastAsia="Arial" w:hAnsi="Arial"/>
          <w:b w:val="false"/>
          <w:bCs w:val="false"/>
          <w:color w:val="1A1A1A"/>
          <w:sz w:val="22"/>
          <w:szCs w:val="22"/>
        </w:rPr>
        <w:t xml:space="preserve">Leave application workflow: Teacher submits request → HOD approves/rejects → HR records → Attendance system updates automatically</w:t>
      </w:r>
    </w:p>
    <w:p>
      <w:pPr>
        <w:pStyle w:val="ListParagraph"/>
        <w:numPr>
          <w:ilvl w:val="0"/>
          <w:numId w:val="2"/>
        </w:numPr>
        <w:spacing w:before="60" w:after="60"/>
      </w:pPr>
      <w:r>
        <w:rPr>
          <w:rFonts w:ascii="Arial" w:cs="Arial" w:eastAsia="Arial" w:hAnsi="Arial"/>
          <w:b w:val="false"/>
          <w:bCs w:val="false"/>
          <w:color w:val="1A1A1A"/>
          <w:sz w:val="22"/>
          <w:szCs w:val="22"/>
        </w:rPr>
        <w:t xml:space="preserve">Leave balance tracking: Real-time display of remaining leave balance per type; alerts when balance is critically low</w:t>
      </w:r>
    </w:p>
    <w:p>
      <w:pPr>
        <w:pStyle w:val="ListParagraph"/>
        <w:numPr>
          <w:ilvl w:val="0"/>
          <w:numId w:val="2"/>
        </w:numPr>
        <w:spacing w:before="60" w:after="60"/>
      </w:pPr>
      <w:r>
        <w:rPr>
          <w:rFonts w:ascii="Arial" w:cs="Arial" w:eastAsia="Arial" w:hAnsi="Arial"/>
          <w:b w:val="false"/>
          <w:bCs w:val="false"/>
          <w:color w:val="1A1A1A"/>
          <w:sz w:val="22"/>
          <w:szCs w:val="22"/>
        </w:rPr>
        <w:t xml:space="preserve">Leave calendar: Department-wide leave calendar visible to HOD showing which faculty are absent on each date — enabling proactive substitute planning</w:t>
      </w:r>
    </w:p>
    <w:p>
      <w:pPr>
        <w:pStyle w:val="ListParagraph"/>
        <w:numPr>
          <w:ilvl w:val="0"/>
          <w:numId w:val="2"/>
        </w:numPr>
        <w:spacing w:before="60" w:after="60"/>
      </w:pPr>
      <w:r>
        <w:rPr>
          <w:rFonts w:ascii="Arial" w:cs="Arial" w:eastAsia="Arial" w:hAnsi="Arial"/>
          <w:b w:val="false"/>
          <w:bCs w:val="false"/>
          <w:color w:val="1A1A1A"/>
          <w:sz w:val="22"/>
          <w:szCs w:val="22"/>
        </w:rPr>
        <w:t xml:space="preserve">Leave encashment and carry-forward rules configurable per institute HR policy</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7.5 Attendance Reports &amp; Alerts</w:t>
      </w:r>
    </w:p>
    <w:p>
      <w:pPr>
        <w:pStyle w:val="ListParagraph"/>
        <w:numPr>
          <w:ilvl w:val="0"/>
          <w:numId w:val="2"/>
        </w:numPr>
        <w:spacing w:before="60" w:after="60"/>
      </w:pPr>
      <w:r>
        <w:rPr>
          <w:rFonts w:ascii="Arial" w:cs="Arial" w:eastAsia="Arial" w:hAnsi="Arial"/>
          <w:b w:val="false"/>
          <w:bCs w:val="false"/>
          <w:color w:val="1A1A1A"/>
          <w:sz w:val="22"/>
          <w:szCs w:val="22"/>
        </w:rPr>
        <w:t xml:space="preserve">Daily attendance summary: Auto-generated each morning showing present/absent/on-leave status for all faculty — emailed to HODs and admins.</w:t>
      </w:r>
    </w:p>
    <w:p>
      <w:pPr>
        <w:pStyle w:val="ListParagraph"/>
        <w:numPr>
          <w:ilvl w:val="0"/>
          <w:numId w:val="2"/>
        </w:numPr>
        <w:spacing w:before="60" w:after="60"/>
      </w:pPr>
      <w:r>
        <w:rPr>
          <w:rFonts w:ascii="Arial" w:cs="Arial" w:eastAsia="Arial" w:hAnsi="Arial"/>
          <w:b w:val="false"/>
          <w:bCs w:val="false"/>
          <w:color w:val="1A1A1A"/>
          <w:sz w:val="22"/>
          <w:szCs w:val="22"/>
        </w:rPr>
        <w:t xml:space="preserve">Monthly attendance register: Standard format report for salary processing; shows day-by-day status and monthly attendance percentage per teacher.</w:t>
      </w:r>
    </w:p>
    <w:p>
      <w:pPr>
        <w:pStyle w:val="ListParagraph"/>
        <w:numPr>
          <w:ilvl w:val="0"/>
          <w:numId w:val="2"/>
        </w:numPr>
        <w:spacing w:before="60" w:after="60"/>
      </w:pPr>
      <w:r>
        <w:rPr>
          <w:rFonts w:ascii="Arial" w:cs="Arial" w:eastAsia="Arial" w:hAnsi="Arial"/>
          <w:b w:val="false"/>
          <w:bCs w:val="false"/>
          <w:color w:val="1A1A1A"/>
          <w:sz w:val="22"/>
          <w:szCs w:val="22"/>
        </w:rPr>
        <w:t xml:space="preserve">Chronic absenteeism alerts: Teachers with attendance below the configured threshold (e.g., 85%) for a rolling 30-day period are automatically flagged for HR intervention.</w:t>
      </w:r>
    </w:p>
    <w:p>
      <w:pPr>
        <w:pStyle w:val="ListParagraph"/>
        <w:numPr>
          <w:ilvl w:val="0"/>
          <w:numId w:val="2"/>
        </w:numPr>
        <w:spacing w:before="60" w:after="60"/>
      </w:pPr>
      <w:r>
        <w:rPr>
          <w:rFonts w:ascii="Arial" w:cs="Arial" w:eastAsia="Arial" w:hAnsi="Arial"/>
          <w:b w:val="false"/>
          <w:bCs w:val="false"/>
          <w:color w:val="1A1A1A"/>
          <w:sz w:val="22"/>
          <w:szCs w:val="22"/>
        </w:rPr>
        <w:t xml:space="preserve">Session delivery compliance report: Shows the ratio of sessions delivered vs. scheduled per teacher per subject — critical for academic audit and student satisfaction.</w:t>
      </w:r>
    </w:p>
    <w:p>
      <w:pPr>
        <w:pStyle w:val="ListParagraph"/>
        <w:numPr>
          <w:ilvl w:val="0"/>
          <w:numId w:val="2"/>
        </w:numPr>
        <w:spacing w:before="60" w:after="60"/>
      </w:pPr>
      <w:r>
        <w:rPr>
          <w:rFonts w:ascii="Arial" w:cs="Arial" w:eastAsia="Arial" w:hAnsi="Arial"/>
          <w:b w:val="false"/>
          <w:bCs w:val="false"/>
          <w:color w:val="1A1A1A"/>
          <w:sz w:val="22"/>
          <w:szCs w:val="22"/>
        </w:rPr>
        <w:t xml:space="preserve">Punctuality report: Average start-time deviation per teacher across the semester — used in performance evaluation.</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8: Teacher Workload Management</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8.1 Overview</w:t>
      </w:r>
    </w:p>
    <w:p>
      <w:pPr>
        <w:spacing w:before="80" w:after="80"/>
      </w:pPr>
      <w:r>
        <w:rPr>
          <w:rFonts w:ascii="Arial" w:cs="Arial" w:eastAsia="Arial" w:hAnsi="Arial"/>
          <w:color w:val="1A1A1A"/>
          <w:sz w:val="22"/>
          <w:szCs w:val="22"/>
        </w:rPr>
        <w:t xml:space="preserve">Teacher Workload Management is the systematic quantification, monitoring, and balancing of every academic and administrative task assigned to a faculty member. Overloaded faculty deliver poor teaching quality; underutilised faculty represent institutional inefficiency. EcoSkiller's Workload Management system provides transparent, real-time workload visibility to teachers, department heads, and administrators — enabling data-driven workload balancing that protects faculty wellbeing, ensures equitable distribution, and maintains academic quality standards.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8.2 Workload Components</w:t>
      </w:r>
    </w:p>
    <w:p>
      <w:pPr>
        <w:spacing w:before="220" w:after="80"/>
      </w:pPr>
      <w:r>
        <w:rPr>
          <w:rFonts w:ascii="Arial" w:cs="Arial" w:eastAsia="Arial" w:hAnsi="Arial"/>
          <w:b/>
          <w:bCs/>
          <w:color w:val="7B3FA0"/>
          <w:sz w:val="24"/>
          <w:szCs w:val="24"/>
        </w:rPr>
        <w:t xml:space="preserve">8.2.1 Teaching Load</w:t>
      </w:r>
    </w:p>
    <w:p>
      <w:pPr>
        <w:pStyle w:val="ListParagraph"/>
        <w:numPr>
          <w:ilvl w:val="0"/>
          <w:numId w:val="2"/>
        </w:numPr>
        <w:spacing w:before="60" w:after="60"/>
      </w:pPr>
      <w:r>
        <w:rPr>
          <w:rFonts w:ascii="Arial" w:cs="Arial" w:eastAsia="Arial" w:hAnsi="Arial"/>
          <w:b w:val="false"/>
          <w:bCs w:val="false"/>
          <w:color w:val="1A1A1A"/>
          <w:sz w:val="22"/>
          <w:szCs w:val="22"/>
        </w:rPr>
        <w:t xml:space="preserve">Contact hours per week: All scheduled lecture, tutorial, practical, and seminar hours</w:t>
      </w:r>
    </w:p>
    <w:p>
      <w:pPr>
        <w:pStyle w:val="ListParagraph"/>
        <w:numPr>
          <w:ilvl w:val="0"/>
          <w:numId w:val="2"/>
        </w:numPr>
        <w:spacing w:before="60" w:after="60"/>
      </w:pPr>
      <w:r>
        <w:rPr>
          <w:rFonts w:ascii="Arial" w:cs="Arial" w:eastAsia="Arial" w:hAnsi="Arial"/>
          <w:b w:val="false"/>
          <w:bCs w:val="false"/>
          <w:color w:val="1A1A1A"/>
          <w:sz w:val="22"/>
          <w:szCs w:val="22"/>
        </w:rPr>
        <w:t xml:space="preserve">Course preparation multiplier: New subjects assigned for the first time carry a preparation overhead — each new subject adds a configured preparation credit to the effective workload</w:t>
      </w:r>
    </w:p>
    <w:p>
      <w:pPr>
        <w:pStyle w:val="ListParagraph"/>
        <w:numPr>
          <w:ilvl w:val="0"/>
          <w:numId w:val="2"/>
        </w:numPr>
        <w:spacing w:before="60" w:after="60"/>
      </w:pPr>
      <w:r>
        <w:rPr>
          <w:rFonts w:ascii="Arial" w:cs="Arial" w:eastAsia="Arial" w:hAnsi="Arial"/>
          <w:b w:val="false"/>
          <w:bCs w:val="false"/>
          <w:color w:val="1A1A1A"/>
          <w:sz w:val="22"/>
          <w:szCs w:val="22"/>
        </w:rPr>
        <w:t xml:space="preserve">Section count: Teaching the same subject to multiple sections counts proportionally (e.g., 3 sections of the same subject = 3x the assessment and feedback workload)</w:t>
      </w:r>
    </w:p>
    <w:p>
      <w:pPr>
        <w:pStyle w:val="ListParagraph"/>
        <w:numPr>
          <w:ilvl w:val="0"/>
          <w:numId w:val="2"/>
        </w:numPr>
        <w:spacing w:before="60" w:after="60"/>
      </w:pPr>
      <w:r>
        <w:rPr>
          <w:rFonts w:ascii="Arial" w:cs="Arial" w:eastAsia="Arial" w:hAnsi="Arial"/>
          <w:b w:val="false"/>
          <w:bCs w:val="false"/>
          <w:color w:val="1A1A1A"/>
          <w:sz w:val="22"/>
          <w:szCs w:val="22"/>
        </w:rPr>
        <w:t xml:space="preserve">Online session overhead: Recorded online sessions carry an additional post-production time credit</w:t>
      </w:r>
    </w:p>
    <w:p>
      <w:pPr>
        <w:spacing w:before="40" w:after="40"/>
      </w:pPr>
      <w:r>
        <w:t xml:space="preserve"/>
      </w:r>
    </w:p>
    <w:p>
      <w:pPr>
        <w:spacing w:before="220" w:after="80"/>
      </w:pPr>
      <w:r>
        <w:rPr>
          <w:rFonts w:ascii="Arial" w:cs="Arial" w:eastAsia="Arial" w:hAnsi="Arial"/>
          <w:b/>
          <w:bCs/>
          <w:color w:val="7B3FA0"/>
          <w:sz w:val="24"/>
          <w:szCs w:val="24"/>
        </w:rPr>
        <w:t xml:space="preserve">8.2.2 Assessment Load</w:t>
      </w:r>
    </w:p>
    <w:p>
      <w:pPr>
        <w:pStyle w:val="ListParagraph"/>
        <w:numPr>
          <w:ilvl w:val="0"/>
          <w:numId w:val="2"/>
        </w:numPr>
        <w:spacing w:before="60" w:after="60"/>
      </w:pPr>
      <w:r>
        <w:rPr>
          <w:rFonts w:ascii="Arial" w:cs="Arial" w:eastAsia="Arial" w:hAnsi="Arial"/>
          <w:b w:val="false"/>
          <w:bCs w:val="false"/>
          <w:color w:val="1A1A1A"/>
          <w:sz w:val="22"/>
          <w:szCs w:val="22"/>
        </w:rPr>
        <w:t xml:space="preserve">Assignment and quiz design, distribution, evaluation, and feedback per course</w:t>
      </w:r>
    </w:p>
    <w:p>
      <w:pPr>
        <w:pStyle w:val="ListParagraph"/>
        <w:numPr>
          <w:ilvl w:val="0"/>
          <w:numId w:val="2"/>
        </w:numPr>
        <w:spacing w:before="60" w:after="60"/>
      </w:pPr>
      <w:r>
        <w:rPr>
          <w:rFonts w:ascii="Arial" w:cs="Arial" w:eastAsia="Arial" w:hAnsi="Arial"/>
          <w:b w:val="false"/>
          <w:bCs w:val="false"/>
          <w:color w:val="1A1A1A"/>
          <w:sz w:val="22"/>
          <w:szCs w:val="22"/>
        </w:rPr>
        <w:t xml:space="preserve">Mid-semester and end-semester examination paper setting, invigilation, and evaluation duties</w:t>
      </w:r>
    </w:p>
    <w:p>
      <w:pPr>
        <w:pStyle w:val="ListParagraph"/>
        <w:numPr>
          <w:ilvl w:val="0"/>
          <w:numId w:val="2"/>
        </w:numPr>
        <w:spacing w:before="60" w:after="60"/>
      </w:pPr>
      <w:r>
        <w:rPr>
          <w:rFonts w:ascii="Arial" w:cs="Arial" w:eastAsia="Arial" w:hAnsi="Arial"/>
          <w:b w:val="false"/>
          <w:bCs w:val="false"/>
          <w:color w:val="1A1A1A"/>
          <w:sz w:val="22"/>
          <w:szCs w:val="22"/>
        </w:rPr>
        <w:t xml:space="preserve">Project/dissertation evaluation sessions, viva voce panels, and grading</w:t>
      </w:r>
    </w:p>
    <w:p>
      <w:pPr>
        <w:pStyle w:val="ListParagraph"/>
        <w:numPr>
          <w:ilvl w:val="0"/>
          <w:numId w:val="2"/>
        </w:numPr>
        <w:spacing w:before="60" w:after="60"/>
      </w:pPr>
      <w:r>
        <w:rPr>
          <w:rFonts w:ascii="Arial" w:cs="Arial" w:eastAsia="Arial" w:hAnsi="Arial"/>
          <w:b w:val="false"/>
          <w:bCs w:val="false"/>
          <w:color w:val="1A1A1A"/>
          <w:sz w:val="22"/>
          <w:szCs w:val="22"/>
        </w:rPr>
        <w:t xml:space="preserve">Assessment load is automatically calculated based on student count, submission type, and evaluation complexity configured per course</w:t>
      </w:r>
    </w:p>
    <w:p>
      <w:pPr>
        <w:spacing w:before="40" w:after="40"/>
      </w:pPr>
      <w:r>
        <w:t xml:space="preserve"/>
      </w:r>
    </w:p>
    <w:p>
      <w:pPr>
        <w:spacing w:before="220" w:after="80"/>
      </w:pPr>
      <w:r>
        <w:rPr>
          <w:rFonts w:ascii="Arial" w:cs="Arial" w:eastAsia="Arial" w:hAnsi="Arial"/>
          <w:b/>
          <w:bCs/>
          <w:color w:val="7B3FA0"/>
          <w:sz w:val="24"/>
          <w:szCs w:val="24"/>
        </w:rPr>
        <w:t xml:space="preserve">8.2.3 Administrative Load</w:t>
      </w:r>
    </w:p>
    <w:p>
      <w:pPr>
        <w:pStyle w:val="ListParagraph"/>
        <w:numPr>
          <w:ilvl w:val="0"/>
          <w:numId w:val="2"/>
        </w:numPr>
        <w:spacing w:before="60" w:after="60"/>
      </w:pPr>
      <w:r>
        <w:rPr>
          <w:rFonts w:ascii="Arial" w:cs="Arial" w:eastAsia="Arial" w:hAnsi="Arial"/>
          <w:b w:val="false"/>
          <w:bCs w:val="false"/>
          <w:color w:val="1A1A1A"/>
          <w:sz w:val="22"/>
          <w:szCs w:val="22"/>
        </w:rPr>
        <w:t xml:space="preserve">Administrative roles: HOD, Dean, IQAC Coordinator, Exam Controller, etc. — each with a configured weekly hour weight</w:t>
      </w:r>
    </w:p>
    <w:p>
      <w:pPr>
        <w:pStyle w:val="ListParagraph"/>
        <w:numPr>
          <w:ilvl w:val="0"/>
          <w:numId w:val="2"/>
        </w:numPr>
        <w:spacing w:before="60" w:after="60"/>
      </w:pPr>
      <w:r>
        <w:rPr>
          <w:rFonts w:ascii="Arial" w:cs="Arial" w:eastAsia="Arial" w:hAnsi="Arial"/>
          <w:b w:val="false"/>
          <w:bCs w:val="false"/>
          <w:color w:val="1A1A1A"/>
          <w:sz w:val="22"/>
          <w:szCs w:val="22"/>
        </w:rPr>
        <w:t xml:space="preserve">Committee memberships: Admission committees, academic councils, sports committees — each with a per-meeting hour count</w:t>
      </w:r>
    </w:p>
    <w:p>
      <w:pPr>
        <w:pStyle w:val="ListParagraph"/>
        <w:numPr>
          <w:ilvl w:val="0"/>
          <w:numId w:val="2"/>
        </w:numPr>
        <w:spacing w:before="60" w:after="60"/>
      </w:pPr>
      <w:r>
        <w:rPr>
          <w:rFonts w:ascii="Arial" w:cs="Arial" w:eastAsia="Arial" w:hAnsi="Arial"/>
          <w:b w:val="false"/>
          <w:bCs w:val="false"/>
          <w:color w:val="1A1A1A"/>
          <w:sz w:val="22"/>
          <w:szCs w:val="22"/>
        </w:rPr>
        <w:t xml:space="preserve">Mentoring load: Each mentee student counts as a fractional workload unit (configurable: default 0.25 hours/student/week for class mentors)</w:t>
      </w:r>
    </w:p>
    <w:p>
      <w:pPr>
        <w:pStyle w:val="ListParagraph"/>
        <w:numPr>
          <w:ilvl w:val="0"/>
          <w:numId w:val="2"/>
        </w:numPr>
        <w:spacing w:before="60" w:after="60"/>
      </w:pPr>
      <w:r>
        <w:rPr>
          <w:rFonts w:ascii="Arial" w:cs="Arial" w:eastAsia="Arial" w:hAnsi="Arial"/>
          <w:b w:val="false"/>
          <w:bCs w:val="false"/>
          <w:color w:val="1A1A1A"/>
          <w:sz w:val="22"/>
          <w:szCs w:val="22"/>
        </w:rPr>
        <w:t xml:space="preserve">Accreditation and compliance work: NAAC/NBA documentation, regulatory reporting — counted as project tasks with estimated hours</w:t>
      </w:r>
    </w:p>
    <w:p>
      <w:pPr>
        <w:spacing w:before="40" w:after="40"/>
      </w:pPr>
      <w:r>
        <w:t xml:space="preserve"/>
      </w:r>
    </w:p>
    <w:p>
      <w:pPr>
        <w:spacing w:before="220" w:after="80"/>
      </w:pPr>
      <w:r>
        <w:rPr>
          <w:rFonts w:ascii="Arial" w:cs="Arial" w:eastAsia="Arial" w:hAnsi="Arial"/>
          <w:b/>
          <w:bCs/>
          <w:color w:val="7B3FA0"/>
          <w:sz w:val="24"/>
          <w:szCs w:val="24"/>
        </w:rPr>
        <w:t xml:space="preserve">8.2.4 Research &amp; Development Load</w:t>
      </w:r>
    </w:p>
    <w:p>
      <w:pPr>
        <w:pStyle w:val="ListParagraph"/>
        <w:numPr>
          <w:ilvl w:val="0"/>
          <w:numId w:val="2"/>
        </w:numPr>
        <w:spacing w:before="60" w:after="60"/>
      </w:pPr>
      <w:r>
        <w:rPr>
          <w:rFonts w:ascii="Arial" w:cs="Arial" w:eastAsia="Arial" w:hAnsi="Arial"/>
          <w:b w:val="false"/>
          <w:bCs w:val="false"/>
          <w:color w:val="1A1A1A"/>
          <w:sz w:val="22"/>
          <w:szCs w:val="22"/>
        </w:rPr>
        <w:t xml:space="preserve">Funded research projects: Grant preparation, execution, reporting hours — self-declared and manager-confirmed</w:t>
      </w:r>
    </w:p>
    <w:p>
      <w:pPr>
        <w:pStyle w:val="ListParagraph"/>
        <w:numPr>
          <w:ilvl w:val="0"/>
          <w:numId w:val="2"/>
        </w:numPr>
        <w:spacing w:before="60" w:after="60"/>
      </w:pPr>
      <w:r>
        <w:rPr>
          <w:rFonts w:ascii="Arial" w:cs="Arial" w:eastAsia="Arial" w:hAnsi="Arial"/>
          <w:b w:val="false"/>
          <w:bCs w:val="false"/>
          <w:color w:val="1A1A1A"/>
          <w:sz w:val="22"/>
          <w:szCs w:val="22"/>
        </w:rPr>
        <w:t xml:space="preserve">PhD student supervision: Each registered PhD scholar adds a configured supervision hour per week</w:t>
      </w:r>
    </w:p>
    <w:p>
      <w:pPr>
        <w:pStyle w:val="ListParagraph"/>
        <w:numPr>
          <w:ilvl w:val="0"/>
          <w:numId w:val="2"/>
        </w:numPr>
        <w:spacing w:before="60" w:after="60"/>
      </w:pPr>
      <w:r>
        <w:rPr>
          <w:rFonts w:ascii="Arial" w:cs="Arial" w:eastAsia="Arial" w:hAnsi="Arial"/>
          <w:b w:val="false"/>
          <w:bCs w:val="false"/>
          <w:color w:val="1A1A1A"/>
          <w:sz w:val="22"/>
          <w:szCs w:val="22"/>
        </w:rPr>
        <w:t xml:space="preserve">Publication work: Time allocated for paper writing, peer review, and conference preparation</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8.3 Workload Dashboard</w:t>
      </w:r>
    </w:p>
    <w:p>
      <w:pPr>
        <w:spacing w:before="80" w:after="80"/>
      </w:pPr>
      <w:r>
        <w:rPr>
          <w:rFonts w:ascii="Arial" w:cs="Arial" w:eastAsia="Arial" w:hAnsi="Arial"/>
          <w:color w:val="1A1A1A"/>
          <w:sz w:val="22"/>
          <w:szCs w:val="22"/>
        </w:rPr>
        <w:t xml:space="preserve">Each teacher has a real-time workload dashboard showing:</w:t>
      </w:r>
    </w:p>
    <w:p>
      <w:pPr>
        <w:pStyle w:val="ListParagraph"/>
        <w:numPr>
          <w:ilvl w:val="0"/>
          <w:numId w:val="2"/>
        </w:numPr>
        <w:spacing w:before="60" w:after="60"/>
      </w:pPr>
      <w:r>
        <w:rPr>
          <w:rFonts w:ascii="Arial" w:cs="Arial" w:eastAsia="Arial" w:hAnsi="Arial"/>
          <w:b w:val="false"/>
          <w:bCs w:val="false"/>
          <w:color w:val="1A1A1A"/>
          <w:sz w:val="22"/>
          <w:szCs w:val="22"/>
        </w:rPr>
        <w:t xml:space="preserve">Current Week Load: Total effective hours this week across all components, shown as a gauge against the institute's defined maximum (e.g., 40 hours/week)</w:t>
      </w:r>
    </w:p>
    <w:p>
      <w:pPr>
        <w:pStyle w:val="ListParagraph"/>
        <w:numPr>
          <w:ilvl w:val="0"/>
          <w:numId w:val="2"/>
        </w:numPr>
        <w:spacing w:before="60" w:after="60"/>
      </w:pPr>
      <w:r>
        <w:rPr>
          <w:rFonts w:ascii="Arial" w:cs="Arial" w:eastAsia="Arial" w:hAnsi="Arial"/>
          <w:b w:val="false"/>
          <w:bCs w:val="false"/>
          <w:color w:val="1A1A1A"/>
          <w:sz w:val="22"/>
          <w:szCs w:val="22"/>
        </w:rPr>
        <w:t xml:space="preserve">Semester Load Overview: Stacked bar chart breaking total load by category (Teaching, Assessment, Admin, Research) for each week of the current semester</w:t>
      </w:r>
    </w:p>
    <w:p>
      <w:pPr>
        <w:pStyle w:val="ListParagraph"/>
        <w:numPr>
          <w:ilvl w:val="0"/>
          <w:numId w:val="2"/>
        </w:numPr>
        <w:spacing w:before="60" w:after="60"/>
      </w:pPr>
      <w:r>
        <w:rPr>
          <w:rFonts w:ascii="Arial" w:cs="Arial" w:eastAsia="Arial" w:hAnsi="Arial"/>
          <w:b w:val="false"/>
          <w:bCs w:val="false"/>
          <w:color w:val="1A1A1A"/>
          <w:sz w:val="22"/>
          <w:szCs w:val="22"/>
        </w:rPr>
        <w:t xml:space="preserve">Overload Indicator: Any week where total effective hours exceed the configured maximum is highlighted in red with the specific contributing activities listed</w:t>
      </w:r>
    </w:p>
    <w:p>
      <w:pPr>
        <w:pStyle w:val="ListParagraph"/>
        <w:numPr>
          <w:ilvl w:val="0"/>
          <w:numId w:val="2"/>
        </w:numPr>
        <w:spacing w:before="60" w:after="60"/>
      </w:pPr>
      <w:r>
        <w:rPr>
          <w:rFonts w:ascii="Arial" w:cs="Arial" w:eastAsia="Arial" w:hAnsi="Arial"/>
          <w:b w:val="false"/>
          <w:bCs w:val="false"/>
          <w:color w:val="1A1A1A"/>
          <w:sz w:val="22"/>
          <w:szCs w:val="22"/>
        </w:rPr>
        <w:t xml:space="preserve">Load Comparison: Anonymous comparison of the teacher's workload vs. department average and institution average — surfacing inequity for discussion</w:t>
      </w:r>
    </w:p>
    <w:p>
      <w:pPr>
        <w:pStyle w:val="ListParagraph"/>
        <w:numPr>
          <w:ilvl w:val="0"/>
          <w:numId w:val="2"/>
        </w:numPr>
        <w:spacing w:before="60" w:after="60"/>
      </w:pPr>
      <w:r>
        <w:rPr>
          <w:rFonts w:ascii="Arial" w:cs="Arial" w:eastAsia="Arial" w:hAnsi="Arial"/>
          <w:b w:val="false"/>
          <w:bCs w:val="false"/>
          <w:color w:val="1A1A1A"/>
          <w:sz w:val="22"/>
          <w:szCs w:val="22"/>
        </w:rPr>
        <w:t xml:space="preserve">Projected Load: Based on upcoming assessment schedules and meetings, the dashboard projects the next 4 weeks of expected workload</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8.4 Workload Balancing &amp; Governance</w:t>
      </w:r>
    </w:p>
    <w:p>
      <w:pPr>
        <w:pStyle w:val="ListParagraph"/>
        <w:numPr>
          <w:ilvl w:val="0"/>
          <w:numId w:val="2"/>
        </w:numPr>
        <w:spacing w:before="60" w:after="60"/>
      </w:pPr>
      <w:r>
        <w:rPr>
          <w:rFonts w:ascii="Arial" w:cs="Arial" w:eastAsia="Arial" w:hAnsi="Arial"/>
          <w:b w:val="false"/>
          <w:bCs w:val="false"/>
          <w:color w:val="1A1A1A"/>
          <w:sz w:val="22"/>
          <w:szCs w:val="22"/>
        </w:rPr>
        <w:t xml:space="preserve">Department-level workload report: HOD views total and component-level workload for every team member side by side — the primary tool for equitable distribution decisions.</w:t>
      </w:r>
    </w:p>
    <w:p>
      <w:pPr>
        <w:pStyle w:val="ListParagraph"/>
        <w:numPr>
          <w:ilvl w:val="0"/>
          <w:numId w:val="2"/>
        </w:numPr>
        <w:spacing w:before="60" w:after="60"/>
      </w:pPr>
      <w:r>
        <w:rPr>
          <w:rFonts w:ascii="Arial" w:cs="Arial" w:eastAsia="Arial" w:hAnsi="Arial"/>
          <w:b w:val="false"/>
          <w:bCs w:val="false"/>
          <w:color w:val="1A1A1A"/>
          <w:sz w:val="22"/>
          <w:szCs w:val="22"/>
        </w:rPr>
        <w:t xml:space="preserve">Workload threshold enforcement: System blocks new assignments to teachers who are already at or above their maximum configured load unless overridden with justification.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Annual workload summary: Institutional report comparing average workload across departments, identifying chronically overloaded departments for resource planning.</w:t>
      </w:r>
    </w:p>
    <w:p>
      <w:pPr>
        <w:pStyle w:val="ListParagraph"/>
        <w:numPr>
          <w:ilvl w:val="0"/>
          <w:numId w:val="2"/>
        </w:numPr>
        <w:spacing w:before="60" w:after="60"/>
      </w:pPr>
      <w:r>
        <w:rPr>
          <w:rFonts w:ascii="Arial" w:cs="Arial" w:eastAsia="Arial" w:hAnsi="Arial"/>
          <w:b w:val="false"/>
          <w:bCs w:val="false"/>
          <w:color w:val="1A1A1A"/>
          <w:sz w:val="22"/>
          <w:szCs w:val="22"/>
        </w:rPr>
        <w:t xml:space="preserve">Faculty input channel: Teachers can flag tasks they believe are not being counted in their workload through a structured request — reviewed and adjudicated by HOD.</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9: Faculty Evaluation Reports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9.1 Overview</w:t>
      </w:r>
    </w:p>
    <w:p>
      <w:pPr>
        <w:spacing w:before="80" w:after="80"/>
      </w:pPr>
      <w:r>
        <w:rPr>
          <w:rFonts w:ascii="Arial" w:cs="Arial" w:eastAsia="Arial" w:hAnsi="Arial"/>
          <w:color w:val="1A1A1A"/>
          <w:sz w:val="22"/>
          <w:szCs w:val="22"/>
        </w:rPr>
        <w:t xml:space="preserve">Faculty Evaluation Reports are comprehensive, multi-source performance assessments of each teacher generated at regular intervals — typically each semester and annually. They synthesise data from student feedback surveys, peer observations, academic outcome metrics, professional development records, and research contributions into a structured, actionable evaluation document. The system is designed to make faculty evaluation objective, transparent, developmentally oriented, and free from the subjectivity and political bias that plagues informal evaluation processes.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9.2 Evaluation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Source</w:t>
            </w:r>
          </w:p>
        </w:tc>
        <w:tc>
          <w:tcPr>
            <w:tcW w:type="dxa" w:w="396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It Measures</w:t>
            </w:r>
          </w:p>
        </w:tc>
        <w:tc>
          <w:tcPr>
            <w:tcW w:type="dxa" w:w="30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Weight in Overall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Student Feedback Survey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Teaching effectiveness, communication clarity, availability, fairness, and subject knowledge as perceived by students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Academic Outcomes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Pass rates, average scores, and grade distribution of the teacher's students compared to institute and programme averages</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Peer Review / Observation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Structured observation of teaching by HOD or senior peer; covers pedagogy, content accuracy, student engagement, and classroom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Professional Development</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Certifications completed, training hours, conferences attended, and FDPs participated in during the evaluation period</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Research Contribution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Publications, patents, funded projects, and PhD supervision outcomes in the evaluation period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Administrative Contribution</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Quality and completion of institutional responsibilities, committee deliverables, and administrative role performance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5%</w:t>
            </w:r>
          </w:p>
        </w:tc>
      </w:tr>
    </w:tbl>
    <w:p>
      <w:pPr>
        <w:spacing w:before="40" w:after="40"/>
      </w:pPr>
      <w:r>
        <w:t xml:space="preserve"/>
      </w:r>
    </w:p>
    <w:p>
      <w:pPr>
        <w:pStyle w:val="Heading2"/>
        <w:spacing w:before="300" w:after="120"/>
      </w:pPr>
      <w:r>
        <w:rPr>
          <w:rFonts w:ascii="Arial" w:cs="Arial" w:eastAsia="Arial" w:hAnsi="Arial"/>
          <w:b/>
          <w:bCs/>
          <w:color w:val="2563A8"/>
          <w:sz w:val="28"/>
          <w:szCs w:val="28"/>
        </w:rPr>
        <w:t xml:space="preserve">9.3 Student Feedback Module</w:t>
      </w:r>
    </w:p>
    <w:p>
      <w:pPr>
        <w:spacing w:before="220" w:after="80"/>
      </w:pPr>
      <w:r>
        <w:rPr>
          <w:rFonts w:ascii="Arial" w:cs="Arial" w:eastAsia="Arial" w:hAnsi="Arial"/>
          <w:b/>
          <w:bCs/>
          <w:color w:val="7B3FA0"/>
          <w:sz w:val="24"/>
          <w:szCs w:val="24"/>
        </w:rPr>
        <w:t xml:space="preserve">9.3.1 Survey Design</w:t>
      </w:r>
    </w:p>
    <w:p>
      <w:pPr>
        <w:pStyle w:val="ListParagraph"/>
        <w:numPr>
          <w:ilvl w:val="0"/>
          <w:numId w:val="2"/>
        </w:numPr>
        <w:spacing w:before="60" w:after="60"/>
      </w:pPr>
      <w:r>
        <w:rPr>
          <w:rFonts w:ascii="Arial" w:cs="Arial" w:eastAsia="Arial" w:hAnsi="Arial"/>
          <w:b w:val="false"/>
          <w:bCs w:val="false"/>
          <w:color w:val="1A1A1A"/>
          <w:sz w:val="22"/>
          <w:szCs w:val="22"/>
        </w:rPr>
        <w:t xml:space="preserve">Standardised 15-question survey with 5-point Likert scale responses covering: teaching quality, subject knowledge, communication, punctuality, student-centredness, assignment feedback quality, and approachability.</w:t>
      </w:r>
    </w:p>
    <w:p>
      <w:pPr>
        <w:pStyle w:val="ListParagraph"/>
        <w:numPr>
          <w:ilvl w:val="0"/>
          <w:numId w:val="2"/>
        </w:numPr>
        <w:spacing w:before="60" w:after="60"/>
      </w:pPr>
      <w:r>
        <w:rPr>
          <w:rFonts w:ascii="Arial" w:cs="Arial" w:eastAsia="Arial" w:hAnsi="Arial"/>
          <w:b w:val="false"/>
          <w:bCs w:val="false"/>
          <w:color w:val="1A1A1A"/>
          <w:sz w:val="22"/>
          <w:szCs w:val="22"/>
        </w:rPr>
        <w:t xml:space="preserve">Three open-ended questions: What does this teacher do best? What could they improve? Any additional comments?</w:t>
      </w:r>
    </w:p>
    <w:p>
      <w:pPr>
        <w:pStyle w:val="ListParagraph"/>
        <w:numPr>
          <w:ilvl w:val="0"/>
          <w:numId w:val="2"/>
        </w:numPr>
        <w:spacing w:before="60" w:after="60"/>
      </w:pPr>
      <w:r>
        <w:rPr>
          <w:rFonts w:ascii="Arial" w:cs="Arial" w:eastAsia="Arial" w:hAnsi="Arial"/>
          <w:b w:val="false"/>
          <w:bCs w:val="false"/>
          <w:color w:val="1A1A1A"/>
          <w:sz w:val="22"/>
          <w:szCs w:val="22"/>
        </w:rPr>
        <w:t xml:space="preserve">Surveys are anonymous — student identity is never linked to their responses in any report.</w:t>
      </w:r>
    </w:p>
    <w:p>
      <w:pPr>
        <w:pStyle w:val="ListParagraph"/>
        <w:numPr>
          <w:ilvl w:val="0"/>
          <w:numId w:val="2"/>
        </w:numPr>
        <w:spacing w:before="60" w:after="60"/>
      </w:pPr>
      <w:r>
        <w:rPr>
          <w:rFonts w:ascii="Arial" w:cs="Arial" w:eastAsia="Arial" w:hAnsi="Arial"/>
          <w:b w:val="false"/>
          <w:bCs w:val="false"/>
          <w:color w:val="1A1A1A"/>
          <w:sz w:val="22"/>
          <w:szCs w:val="22"/>
        </w:rPr>
        <w:t xml:space="preserve">Survey window: Open for 5 days at the end of each semester (after internal exams, before results).</w:t>
      </w:r>
    </w:p>
    <w:p>
      <w:pPr>
        <w:spacing w:before="40" w:after="40"/>
      </w:pPr>
      <w:r>
        <w:t xml:space="preserve"/>
      </w:r>
    </w:p>
    <w:p>
      <w:pPr>
        <w:spacing w:before="220" w:after="80"/>
      </w:pPr>
      <w:r>
        <w:rPr>
          <w:rFonts w:ascii="Arial" w:cs="Arial" w:eastAsia="Arial" w:hAnsi="Arial"/>
          <w:b/>
          <w:bCs/>
          <w:color w:val="7B3FA0"/>
          <w:sz w:val="24"/>
          <w:szCs w:val="24"/>
        </w:rPr>
        <w:t xml:space="preserve">9.3.2 Feedback Integrity Controls</w:t>
      </w:r>
    </w:p>
    <w:p>
      <w:pPr>
        <w:pStyle w:val="ListParagraph"/>
        <w:numPr>
          <w:ilvl w:val="0"/>
          <w:numId w:val="2"/>
        </w:numPr>
        <w:spacing w:before="60" w:after="60"/>
      </w:pPr>
      <w:r>
        <w:rPr>
          <w:rFonts w:ascii="Arial" w:cs="Arial" w:eastAsia="Arial" w:hAnsi="Arial"/>
          <w:b w:val="false"/>
          <w:bCs w:val="false"/>
          <w:color w:val="1A1A1A"/>
          <w:sz w:val="22"/>
          <w:szCs w:val="22"/>
        </w:rPr>
        <w:t xml:space="preserve">Minimum response threshold: A teacher's feedback score is only published if at least 60% of enrolled students respond — preventing small-sample distortion.</w:t>
      </w:r>
    </w:p>
    <w:p>
      <w:pPr>
        <w:pStyle w:val="ListParagraph"/>
        <w:numPr>
          <w:ilvl w:val="0"/>
          <w:numId w:val="2"/>
        </w:numPr>
        <w:spacing w:before="60" w:after="60"/>
      </w:pPr>
      <w:r>
        <w:rPr>
          <w:rFonts w:ascii="Arial" w:cs="Arial" w:eastAsia="Arial" w:hAnsi="Arial"/>
          <w:b w:val="false"/>
          <w:bCs w:val="false"/>
          <w:color w:val="1A1A1A"/>
          <w:sz w:val="22"/>
          <w:szCs w:val="22"/>
        </w:rPr>
        <w:t xml:space="preserve">Outlier detection: Statistically extreme responses (e.g., all 1s or all 5s with no text justification) are flagged for review before inclusion.</w:t>
      </w:r>
    </w:p>
    <w:p>
      <w:pPr>
        <w:pStyle w:val="ListParagraph"/>
        <w:numPr>
          <w:ilvl w:val="0"/>
          <w:numId w:val="2"/>
        </w:numPr>
        <w:spacing w:before="60" w:after="60"/>
      </w:pPr>
      <w:r>
        <w:rPr>
          <w:rFonts w:ascii="Arial" w:cs="Arial" w:eastAsia="Arial" w:hAnsi="Arial"/>
          <w:b w:val="false"/>
          <w:bCs w:val="false"/>
          <w:color w:val="1A1A1A"/>
          <w:sz w:val="22"/>
          <w:szCs w:val="22"/>
        </w:rPr>
        <w:t xml:space="preserve">Trend analysis: A single semester's feedback is contextualised against the teacher's 3-year trend — preventing one anomalous result from disproportionately affecting career decisions.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9.4 Evaluation Report Structure</w:t>
      </w:r>
    </w:p>
    <w:p>
      <w:pPr>
        <w:pStyle w:val="ListParagraph"/>
        <w:numPr>
          <w:ilvl w:val="0"/>
          <w:numId w:val="2"/>
        </w:numPr>
        <w:spacing w:before="60" w:after="60"/>
      </w:pPr>
      <w:r>
        <w:rPr>
          <w:rFonts w:ascii="Arial" w:cs="Arial" w:eastAsia="Arial" w:hAnsi="Arial"/>
          <w:b w:val="false"/>
          <w:bCs w:val="false"/>
          <w:color w:val="1A1A1A"/>
          <w:sz w:val="22"/>
          <w:szCs w:val="22"/>
        </w:rPr>
        <w:t xml:space="preserve">Executive Summary: Overall score (0–100), performance band, one-paragraph narrative summary, and top 3 strengths and top 3 development areas.</w:t>
      </w:r>
    </w:p>
    <w:p>
      <w:pPr>
        <w:pStyle w:val="ListParagraph"/>
        <w:numPr>
          <w:ilvl w:val="0"/>
          <w:numId w:val="2"/>
        </w:numPr>
        <w:spacing w:before="60" w:after="60"/>
      </w:pPr>
      <w:r>
        <w:rPr>
          <w:rFonts w:ascii="Arial" w:cs="Arial" w:eastAsia="Arial" w:hAnsi="Arial"/>
          <w:b w:val="false"/>
          <w:bCs w:val="false"/>
          <w:color w:val="1A1A1A"/>
          <w:sz w:val="22"/>
          <w:szCs w:val="22"/>
        </w:rPr>
        <w:t xml:space="preserve">Source-by-source breakdown: Detailed score and evidence summary for each of the six data sources.</w:t>
      </w:r>
    </w:p>
    <w:p>
      <w:pPr>
        <w:pStyle w:val="ListParagraph"/>
        <w:numPr>
          <w:ilvl w:val="0"/>
          <w:numId w:val="2"/>
        </w:numPr>
        <w:spacing w:before="60" w:after="60"/>
      </w:pPr>
      <w:r>
        <w:rPr>
          <w:rFonts w:ascii="Arial" w:cs="Arial" w:eastAsia="Arial" w:hAnsi="Arial"/>
          <w:b w:val="false"/>
          <w:bCs w:val="false"/>
          <w:color w:val="1A1A1A"/>
          <w:sz w:val="22"/>
          <w:szCs w:val="22"/>
        </w:rPr>
        <w:t xml:space="preserve">Year-on-year trend chart: How the teacher's overall score and sub-scores have changed over the last 3 evaluation cycles.</w:t>
      </w:r>
    </w:p>
    <w:p>
      <w:pPr>
        <w:pStyle w:val="ListParagraph"/>
        <w:numPr>
          <w:ilvl w:val="0"/>
          <w:numId w:val="2"/>
        </w:numPr>
        <w:spacing w:before="60" w:after="60"/>
      </w:pPr>
      <w:r>
        <w:rPr>
          <w:rFonts w:ascii="Arial" w:cs="Arial" w:eastAsia="Arial" w:hAnsi="Arial"/>
          <w:b w:val="false"/>
          <w:bCs w:val="false"/>
          <w:color w:val="1A1A1A"/>
          <w:sz w:val="22"/>
          <w:szCs w:val="22"/>
        </w:rPr>
        <w:t xml:space="preserve">Peer benchmark: Anonymous comparison of the teacher's score vs. department average and top-quartile benchmark.</w:t>
      </w:r>
    </w:p>
    <w:p>
      <w:pPr>
        <w:pStyle w:val="ListParagraph"/>
        <w:numPr>
          <w:ilvl w:val="0"/>
          <w:numId w:val="2"/>
        </w:numPr>
        <w:spacing w:before="60" w:after="60"/>
      </w:pPr>
      <w:r>
        <w:rPr>
          <w:rFonts w:ascii="Arial" w:cs="Arial" w:eastAsia="Arial" w:hAnsi="Arial"/>
          <w:b w:val="false"/>
          <w:bCs w:val="false"/>
          <w:color w:val="1A1A1A"/>
          <w:sz w:val="22"/>
          <w:szCs w:val="22"/>
        </w:rPr>
        <w:t xml:space="preserve">Development recommendations: Specific, actionable recommendations linked to the lowest-scoring dimensions — with direct links to platform training resources.</w:t>
      </w:r>
    </w:p>
    <w:p>
      <w:pPr>
        <w:pStyle w:val="ListParagraph"/>
        <w:numPr>
          <w:ilvl w:val="0"/>
          <w:numId w:val="2"/>
        </w:numPr>
        <w:spacing w:before="60" w:after="60"/>
      </w:pPr>
      <w:r>
        <w:rPr>
          <w:rFonts w:ascii="Arial" w:cs="Arial" w:eastAsia="Arial" w:hAnsi="Arial"/>
          <w:b w:val="false"/>
          <w:bCs w:val="false"/>
          <w:color w:val="1A1A1A"/>
          <w:sz w:val="22"/>
          <w:szCs w:val="22"/>
        </w:rPr>
        <w:t xml:space="preserve">Evaluator sign-off section: HOD's qualitative commentary and acknowledgement; teacher's self-response section (teacher can write a formal response to the evaluation).</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9.5 Evaluation Governance &amp; Appeals</w:t>
      </w:r>
    </w:p>
    <w:p>
      <w:pPr>
        <w:pStyle w:val="ListParagraph"/>
        <w:numPr>
          <w:ilvl w:val="0"/>
          <w:numId w:val="2"/>
        </w:numPr>
        <w:spacing w:before="60" w:after="60"/>
      </w:pPr>
      <w:r>
        <w:rPr>
          <w:rFonts w:ascii="Arial" w:cs="Arial" w:eastAsia="Arial" w:hAnsi="Arial"/>
          <w:b w:val="false"/>
          <w:bCs w:val="false"/>
          <w:color w:val="1A1A1A"/>
          <w:sz w:val="22"/>
          <w:szCs w:val="22"/>
        </w:rPr>
        <w:t xml:space="preserve">Evaluation reports are confidential between the teacher, HOD, and HR — not visible to other faculty members or students.</w:t>
      </w:r>
    </w:p>
    <w:p>
      <w:pPr>
        <w:pStyle w:val="ListParagraph"/>
        <w:numPr>
          <w:ilvl w:val="0"/>
          <w:numId w:val="2"/>
        </w:numPr>
        <w:spacing w:before="60" w:after="60"/>
      </w:pPr>
      <w:r>
        <w:rPr>
          <w:rFonts w:ascii="Arial" w:cs="Arial" w:eastAsia="Arial" w:hAnsi="Arial"/>
          <w:b w:val="false"/>
          <w:bCs w:val="false"/>
          <w:color w:val="1A1A1A"/>
          <w:sz w:val="22"/>
          <w:szCs w:val="22"/>
        </w:rPr>
        <w:t xml:space="preserve">Teachers can raise a formal appeal on any data-driven score component within 14 days of report publication, citing specific evidence.</w:t>
      </w:r>
    </w:p>
    <w:p>
      <w:pPr>
        <w:pStyle w:val="ListParagraph"/>
        <w:numPr>
          <w:ilvl w:val="0"/>
          <w:numId w:val="2"/>
        </w:numPr>
        <w:spacing w:before="60" w:after="60"/>
      </w:pPr>
      <w:r>
        <w:rPr>
          <w:rFonts w:ascii="Arial" w:cs="Arial" w:eastAsia="Arial" w:hAnsi="Arial"/>
          <w:b w:val="false"/>
          <w:bCs w:val="false"/>
          <w:color w:val="1A1A1A"/>
          <w:sz w:val="22"/>
          <w:szCs w:val="22"/>
        </w:rPr>
        <w:t xml:space="preserve">Appeals are reviewed by a designated evaluation committee; findings are appended to the original report without altering the original score.</w:t>
      </w:r>
    </w:p>
    <w:p>
      <w:pPr>
        <w:pStyle w:val="ListParagraph"/>
        <w:numPr>
          <w:ilvl w:val="0"/>
          <w:numId w:val="2"/>
        </w:numPr>
        <w:spacing w:before="60" w:after="60"/>
      </w:pPr>
      <w:r>
        <w:rPr>
          <w:rFonts w:ascii="Arial" w:cs="Arial" w:eastAsia="Arial" w:hAnsi="Arial"/>
          <w:b w:val="false"/>
          <w:bCs w:val="false"/>
          <w:color w:val="1A1A1A"/>
          <w:sz w:val="22"/>
          <w:szCs w:val="22"/>
        </w:rPr>
        <w:t xml:space="preserve">Evaluation reports are inputs to promotion, tenure, and contract renewal decisions — creating a traceable link between evaluation evidence and HR actions.</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10: Teacher Professional Development Tracking</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10.1 Overview</w:t>
      </w:r>
    </w:p>
    <w:p>
      <w:pPr>
        <w:spacing w:before="80" w:after="80"/>
      </w:pPr>
      <w:r>
        <w:rPr>
          <w:rFonts w:ascii="Arial" w:cs="Arial" w:eastAsia="Arial" w:hAnsi="Arial"/>
          <w:color w:val="1A1A1A"/>
          <w:sz w:val="22"/>
          <w:szCs w:val="22"/>
        </w:rPr>
        <w:t xml:space="preserve">Teacher Professional Development (PD) Tracking is the systematic recording, monitoring, and reporting of every professional growth activity undertaken by faculty members — including internal training programmes, external workshops, conferences, online certifications, research activities, and industry exposure visits. It ensures that institutional PD investment is visible, quantifiable, and linked to outcomes. For individual teachers, it provides a structured portfolio of their professional growth. For institutions, it provides the evidence base required for regulatory compliance and quality accreditation.</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10.2 Professional Development Activity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Faculty Development Programme (FDP)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Structured multi-day workshops on pedagogy, curriculum design, or domain updates — typically conducted by AICTE, IITs, or the institution itself</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Online Certification Courses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Self-paced or cohort-based courses from NPTEL, Coursera, edX, LinkedIn Learning, or industry platforms — completion certificate required</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National / International Conferences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Attending or presenting at academic conferences; distinguishes between attendee, presenter, and organising committee roles</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Workshop &amp; Seminar Participation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Single or multi-session events focused on a specific topic or skill — shorter duration than FDPs</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Industry Visits &amp; Immersion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Structured visits to industry partners, government bodies, or research labs for domain exposure</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Research &amp; Publication Activities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Journal submissions, book writing, patent filing, grant applications — tracked as PD when not covered under research load</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Academic Leadership Programmes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Leadership development programmes for HODs, Deans, and senior faculty — conferences on institutional governance</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Peer Teaching Observations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Formal observation of another faculty member's teaching as part of a peer learning programme — counts as PD for the observer</w:t>
            </w:r>
          </w:p>
        </w:tc>
      </w:tr>
    </w:tbl>
    <w:p>
      <w:pPr>
        <w:spacing w:before="40" w:after="40"/>
      </w:pPr>
      <w:r>
        <w:t xml:space="preserve"/>
      </w:r>
    </w:p>
    <w:p>
      <w:pPr>
        <w:pStyle w:val="Heading2"/>
        <w:spacing w:before="300" w:after="120"/>
      </w:pPr>
      <w:r>
        <w:rPr>
          <w:rFonts w:ascii="Arial" w:cs="Arial" w:eastAsia="Arial" w:hAnsi="Arial"/>
          <w:b/>
          <w:bCs/>
          <w:color w:val="2563A8"/>
          <w:sz w:val="28"/>
          <w:szCs w:val="28"/>
        </w:rPr>
        <w:t xml:space="preserve">10.3 Activity Logging &amp; Verification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Teacher submits a PD activity record including: activity type, title, organising body, dates, mode (online/offline), and hours/credits earned.</w:t>
      </w:r>
    </w:p>
    <w:p>
      <w:pPr>
        <w:pStyle w:val="ListParagraph"/>
        <w:numPr>
          <w:ilvl w:val="0"/>
          <w:numId w:val="2"/>
        </w:numPr>
        <w:spacing w:before="60" w:after="60"/>
      </w:pPr>
      <w:r>
        <w:rPr>
          <w:rFonts w:ascii="Arial" w:cs="Arial" w:eastAsia="Arial" w:hAnsi="Arial"/>
          <w:b w:val="false"/>
          <w:bCs w:val="false"/>
          <w:color w:val="1A1A1A"/>
          <w:sz w:val="22"/>
          <w:szCs w:val="22"/>
        </w:rPr>
        <w:t xml:space="preserve">Supporting evidence must be uploaded: certificate of participation, programme brochure, abstract of paper presented, or organiser confirmation email.</w:t>
      </w:r>
    </w:p>
    <w:p>
      <w:pPr>
        <w:pStyle w:val="ListParagraph"/>
        <w:numPr>
          <w:ilvl w:val="0"/>
          <w:numId w:val="2"/>
        </w:numPr>
        <w:spacing w:before="60" w:after="60"/>
      </w:pPr>
      <w:r>
        <w:rPr>
          <w:rFonts w:ascii="Arial" w:cs="Arial" w:eastAsia="Arial" w:hAnsi="Arial"/>
          <w:b w:val="false"/>
          <w:bCs w:val="false"/>
          <w:color w:val="1A1A1A"/>
          <w:sz w:val="22"/>
          <w:szCs w:val="22"/>
        </w:rPr>
        <w:t xml:space="preserve">For platform-hosted training programmes, completion is auto-logged — no manual entry required.</w:t>
      </w:r>
    </w:p>
    <w:p>
      <w:pPr>
        <w:pStyle w:val="ListParagraph"/>
        <w:numPr>
          <w:ilvl w:val="0"/>
          <w:numId w:val="2"/>
        </w:numPr>
        <w:spacing w:before="60" w:after="60"/>
      </w:pPr>
      <w:r>
        <w:rPr>
          <w:rFonts w:ascii="Arial" w:cs="Arial" w:eastAsia="Arial" w:hAnsi="Arial"/>
          <w:b w:val="false"/>
          <w:bCs w:val="false"/>
          <w:color w:val="1A1A1A"/>
          <w:sz w:val="22"/>
          <w:szCs w:val="22"/>
        </w:rPr>
        <w:t xml:space="preserve">Admin review queue: All externally attended PD activities go through a lightweight admin review (24-hour SLA) before being officially credited.</w:t>
      </w:r>
    </w:p>
    <w:p>
      <w:pPr>
        <w:pStyle w:val="ListParagraph"/>
        <w:numPr>
          <w:ilvl w:val="0"/>
          <w:numId w:val="2"/>
        </w:numPr>
        <w:spacing w:before="60" w:after="60"/>
      </w:pPr>
      <w:r>
        <w:rPr>
          <w:rFonts w:ascii="Arial" w:cs="Arial" w:eastAsia="Arial" w:hAnsi="Arial"/>
          <w:b w:val="false"/>
          <w:bCs w:val="false"/>
          <w:color w:val="1A1A1A"/>
          <w:sz w:val="22"/>
          <w:szCs w:val="22"/>
        </w:rPr>
        <w:t xml:space="preserve">Retroactive logging: Teachers can log PD activities from before their platform registration date (subject to document proof) to build a complete historical record.</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10.4 PD Tracking Dashboard</w:t>
      </w:r>
    </w:p>
    <w:p>
      <w:pPr>
        <w:pStyle w:val="ListParagraph"/>
        <w:numPr>
          <w:ilvl w:val="0"/>
          <w:numId w:val="2"/>
        </w:numPr>
        <w:spacing w:before="60" w:after="60"/>
      </w:pPr>
      <w:r>
        <w:rPr>
          <w:rFonts w:ascii="Arial" w:cs="Arial" w:eastAsia="Arial" w:hAnsi="Arial"/>
          <w:b w:val="false"/>
          <w:bCs w:val="false"/>
          <w:color w:val="1A1A1A"/>
          <w:sz w:val="22"/>
          <w:szCs w:val="22"/>
        </w:rPr>
        <w:t xml:space="preserve">Annual PD hours accumulated: Running total vs. institution's minimum annual requirement (e.g., AICTE mandates 40 hours/year for AICTE-approved institutions).</w:t>
      </w:r>
    </w:p>
    <w:p>
      <w:pPr>
        <w:pStyle w:val="ListParagraph"/>
        <w:numPr>
          <w:ilvl w:val="0"/>
          <w:numId w:val="2"/>
        </w:numPr>
        <w:spacing w:before="60" w:after="60"/>
      </w:pPr>
      <w:r>
        <w:rPr>
          <w:rFonts w:ascii="Arial" w:cs="Arial" w:eastAsia="Arial" w:hAnsi="Arial"/>
          <w:b w:val="false"/>
          <w:bCs w:val="false"/>
          <w:color w:val="1A1A1A"/>
          <w:sz w:val="22"/>
          <w:szCs w:val="22"/>
        </w:rPr>
        <w:t xml:space="preserve">PD activity log: Chronological list of all recorded activities with status (pending verification, verified, rejected) and credit hours.</w:t>
      </w:r>
    </w:p>
    <w:p>
      <w:pPr>
        <w:pStyle w:val="ListParagraph"/>
        <w:numPr>
          <w:ilvl w:val="0"/>
          <w:numId w:val="2"/>
        </w:numPr>
        <w:spacing w:before="60" w:after="60"/>
      </w:pPr>
      <w:r>
        <w:rPr>
          <w:rFonts w:ascii="Arial" w:cs="Arial" w:eastAsia="Arial" w:hAnsi="Arial"/>
          <w:b w:val="false"/>
          <w:bCs w:val="false"/>
          <w:color w:val="1A1A1A"/>
          <w:sz w:val="22"/>
          <w:szCs w:val="22"/>
        </w:rPr>
        <w:t xml:space="preserve">Category balance: Pie chart showing hours distribution across activity types — identifying whether the teacher's PD is balanced (teaching + research + domain + leadership) or concentrated in one area.</w:t>
      </w:r>
    </w:p>
    <w:p>
      <w:pPr>
        <w:pStyle w:val="ListParagraph"/>
        <w:numPr>
          <w:ilvl w:val="0"/>
          <w:numId w:val="2"/>
        </w:numPr>
        <w:spacing w:before="60" w:after="60"/>
      </w:pPr>
      <w:r>
        <w:rPr>
          <w:rFonts w:ascii="Arial" w:cs="Arial" w:eastAsia="Arial" w:hAnsi="Arial"/>
          <w:b w:val="false"/>
          <w:bCs w:val="false"/>
          <w:color w:val="1A1A1A"/>
          <w:sz w:val="22"/>
          <w:szCs w:val="22"/>
        </w:rPr>
        <w:t xml:space="preserve">Certification expiry tracker: Lists all time-limited certifications with days-to-expiry and renewal resource links.</w:t>
      </w:r>
    </w:p>
    <w:p>
      <w:pPr>
        <w:pStyle w:val="ListParagraph"/>
        <w:numPr>
          <w:ilvl w:val="0"/>
          <w:numId w:val="2"/>
        </w:numPr>
        <w:spacing w:before="60" w:after="60"/>
      </w:pPr>
      <w:r>
        <w:rPr>
          <w:rFonts w:ascii="Arial" w:cs="Arial" w:eastAsia="Arial" w:hAnsi="Arial"/>
          <w:b w:val="false"/>
          <w:bCs w:val="false"/>
          <w:color w:val="1A1A1A"/>
          <w:sz w:val="22"/>
          <w:szCs w:val="22"/>
        </w:rPr>
        <w:t xml:space="preserve">PD gap analysis: Based on the teacher's current subject allocation and evaluation scores, the system suggests PD activities that would address their weakest performance dimensions.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10.5 Institutional PD Reporting</w:t>
      </w:r>
    </w:p>
    <w:p>
      <w:pPr>
        <w:pStyle w:val="ListParagraph"/>
        <w:numPr>
          <w:ilvl w:val="0"/>
          <w:numId w:val="2"/>
        </w:numPr>
        <w:spacing w:before="60" w:after="60"/>
      </w:pPr>
      <w:r>
        <w:rPr>
          <w:rFonts w:ascii="Arial" w:cs="Arial" w:eastAsia="Arial" w:hAnsi="Arial"/>
          <w:b w:val="false"/>
          <w:bCs w:val="false"/>
          <w:color w:val="1A1A1A"/>
          <w:sz w:val="22"/>
          <w:szCs w:val="22"/>
        </w:rPr>
        <w:t xml:space="preserve">Annual PD compliance report: Summary of all faculty PD hours vs. minimum requirements — formatted for NAAC/NBA submission.</w:t>
      </w:r>
    </w:p>
    <w:p>
      <w:pPr>
        <w:pStyle w:val="ListParagraph"/>
        <w:numPr>
          <w:ilvl w:val="0"/>
          <w:numId w:val="2"/>
        </w:numPr>
        <w:spacing w:before="60" w:after="60"/>
      </w:pPr>
      <w:r>
        <w:rPr>
          <w:rFonts w:ascii="Arial" w:cs="Arial" w:eastAsia="Arial" w:hAnsi="Arial"/>
          <w:b w:val="false"/>
          <w:bCs w:val="false"/>
          <w:color w:val="1A1A1A"/>
          <w:sz w:val="22"/>
          <w:szCs w:val="22"/>
        </w:rPr>
        <w:t xml:space="preserve">Department PD investment report: Total hours invested in PD per department, cost analysis (travel + registration), and identified gaps.</w:t>
      </w:r>
    </w:p>
    <w:p>
      <w:pPr>
        <w:pStyle w:val="ListParagraph"/>
        <w:numPr>
          <w:ilvl w:val="0"/>
          <w:numId w:val="2"/>
        </w:numPr>
        <w:spacing w:before="60" w:after="60"/>
      </w:pPr>
      <w:r>
        <w:rPr>
          <w:rFonts w:ascii="Arial" w:cs="Arial" w:eastAsia="Arial" w:hAnsi="Arial"/>
          <w:b w:val="false"/>
          <w:bCs w:val="false"/>
          <w:color w:val="1A1A1A"/>
          <w:sz w:val="22"/>
          <w:szCs w:val="22"/>
        </w:rPr>
        <w:t xml:space="preserve">PD outcome correlation: Longitudinal analysis of whether faculty who complete more PD hours show measurable improvement in their evaluation scores — evidence for PD programme effectiveness.</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11: Teacher Training Programs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11.1 Overview</w:t>
      </w:r>
    </w:p>
    <w:p>
      <w:pPr>
        <w:spacing w:before="80" w:after="80"/>
      </w:pPr>
      <w:r>
        <w:rPr>
          <w:rFonts w:ascii="Arial" w:cs="Arial" w:eastAsia="Arial" w:hAnsi="Arial"/>
          <w:color w:val="1A1A1A"/>
          <w:sz w:val="22"/>
          <w:szCs w:val="22"/>
        </w:rPr>
        <w:t xml:space="preserve">Teacher Training Programs is the structured learning and development delivery system for faculty — covering platform-hosted programmes, externally integrated programmes, and hybrid blended learning experiences. Unlike PD Tracking (which records any external activity), Teacher Training Programs focuses on the design, delivery, administration, and measurement of training programmes that the institution or platform creates and manages. It is the institution's own internal professional development engine — enabling institutes to upskill their faculty systematically rather than relying solely on external events.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11.2 Training Programme Categories</w:t>
      </w:r>
    </w:p>
    <w:p>
      <w:pPr>
        <w:spacing w:before="220" w:after="80"/>
      </w:pPr>
      <w:r>
        <w:rPr>
          <w:rFonts w:ascii="Arial" w:cs="Arial" w:eastAsia="Arial" w:hAnsi="Arial"/>
          <w:b/>
          <w:bCs/>
          <w:color w:val="7B3FA0"/>
          <w:sz w:val="24"/>
          <w:szCs w:val="24"/>
        </w:rPr>
        <w:t xml:space="preserve">11.2.1 Platform Orientation &amp; Onboarding Training</w:t>
      </w:r>
    </w:p>
    <w:p>
      <w:pPr>
        <w:pStyle w:val="ListParagraph"/>
        <w:numPr>
          <w:ilvl w:val="0"/>
          <w:numId w:val="2"/>
        </w:numPr>
        <w:spacing w:before="60" w:after="60"/>
      </w:pPr>
      <w:r>
        <w:rPr>
          <w:rFonts w:ascii="Arial" w:cs="Arial" w:eastAsia="Arial" w:hAnsi="Arial"/>
          <w:b w:val="false"/>
          <w:bCs w:val="false"/>
          <w:color w:val="1A1A1A"/>
          <w:sz w:val="22"/>
          <w:szCs w:val="22"/>
        </w:rPr>
        <w:t xml:space="preserve">Mandatory for all new faculty during onboarding — covers platform navigation, student management, grading tools, communication systems, and attendance marking.</w:t>
      </w:r>
    </w:p>
    <w:p>
      <w:pPr>
        <w:pStyle w:val="ListParagraph"/>
        <w:numPr>
          <w:ilvl w:val="0"/>
          <w:numId w:val="2"/>
        </w:numPr>
        <w:spacing w:before="60" w:after="60"/>
      </w:pPr>
      <w:r>
        <w:rPr>
          <w:rFonts w:ascii="Arial" w:cs="Arial" w:eastAsia="Arial" w:hAnsi="Arial"/>
          <w:b w:val="false"/>
          <w:bCs w:val="false"/>
          <w:color w:val="1A1A1A"/>
          <w:sz w:val="22"/>
          <w:szCs w:val="22"/>
        </w:rPr>
        <w:t xml:space="preserve">Self-paced video + quiz format; must be completed within the first 7 days of platform access.</w:t>
      </w:r>
    </w:p>
    <w:p>
      <w:pPr>
        <w:pStyle w:val="ListParagraph"/>
        <w:numPr>
          <w:ilvl w:val="0"/>
          <w:numId w:val="2"/>
        </w:numPr>
        <w:spacing w:before="60" w:after="60"/>
      </w:pPr>
      <w:r>
        <w:rPr>
          <w:rFonts w:ascii="Arial" w:cs="Arial" w:eastAsia="Arial" w:hAnsi="Arial"/>
          <w:b w:val="false"/>
          <w:bCs w:val="false"/>
          <w:color w:val="1A1A1A"/>
          <w:sz w:val="22"/>
          <w:szCs w:val="22"/>
        </w:rPr>
        <w:t xml:space="preserve">Completion is a prerequisite for first class assignment — ensuring teachers are operationally ready before facing students.</w:t>
      </w:r>
    </w:p>
    <w:p>
      <w:pPr>
        <w:spacing w:before="40" w:after="40"/>
      </w:pPr>
      <w:r>
        <w:t xml:space="preserve"/>
      </w:r>
    </w:p>
    <w:p>
      <w:pPr>
        <w:spacing w:before="220" w:after="80"/>
      </w:pPr>
      <w:r>
        <w:rPr>
          <w:rFonts w:ascii="Arial" w:cs="Arial" w:eastAsia="Arial" w:hAnsi="Arial"/>
          <w:b/>
          <w:bCs/>
          <w:color w:val="7B3FA0"/>
          <w:sz w:val="24"/>
          <w:szCs w:val="24"/>
        </w:rPr>
        <w:t xml:space="preserve">11.2.2 Pedagogical Skill Development</w:t>
      </w:r>
    </w:p>
    <w:p>
      <w:pPr>
        <w:pStyle w:val="ListParagraph"/>
        <w:numPr>
          <w:ilvl w:val="0"/>
          <w:numId w:val="2"/>
        </w:numPr>
        <w:spacing w:before="60" w:after="60"/>
      </w:pPr>
      <w:r>
        <w:rPr>
          <w:rFonts w:ascii="Arial" w:cs="Arial" w:eastAsia="Arial" w:hAnsi="Arial"/>
          <w:b w:val="false"/>
          <w:bCs w:val="false"/>
          <w:color w:val="1A1A1A"/>
          <w:sz w:val="22"/>
          <w:szCs w:val="22"/>
        </w:rPr>
        <w:t xml:space="preserve">Programmes on modern teaching methodologies: Flipped Classroom, Project-Based Learning, Inquiry-Based Learning, Active Learning Strategies.</w:t>
      </w:r>
    </w:p>
    <w:p>
      <w:pPr>
        <w:pStyle w:val="ListParagraph"/>
        <w:numPr>
          <w:ilvl w:val="0"/>
          <w:numId w:val="2"/>
        </w:numPr>
        <w:spacing w:before="60" w:after="60"/>
      </w:pPr>
      <w:r>
        <w:rPr>
          <w:rFonts w:ascii="Arial" w:cs="Arial" w:eastAsia="Arial" w:hAnsi="Arial"/>
          <w:b w:val="false"/>
          <w:bCs w:val="false"/>
          <w:color w:val="1A1A1A"/>
          <w:sz w:val="22"/>
          <w:szCs w:val="22"/>
        </w:rPr>
        <w:t xml:space="preserve">Assessment design workshops: Creating valid, reliable, and bias-free assessments; rubric development; reducing rote evaluation.</w:t>
      </w:r>
    </w:p>
    <w:p>
      <w:pPr>
        <w:pStyle w:val="ListParagraph"/>
        <w:numPr>
          <w:ilvl w:val="0"/>
          <w:numId w:val="2"/>
        </w:numPr>
        <w:spacing w:before="60" w:after="60"/>
      </w:pPr>
      <w:r>
        <w:rPr>
          <w:rFonts w:ascii="Arial" w:cs="Arial" w:eastAsia="Arial" w:hAnsi="Arial"/>
          <w:b w:val="false"/>
          <w:bCs w:val="false"/>
          <w:color w:val="1A1A1A"/>
          <w:sz w:val="22"/>
          <w:szCs w:val="22"/>
        </w:rPr>
        <w:t xml:space="preserve">Student-centred learning practices: How to adapt teaching to diverse learner needs, learning styles, and ability levels.</w:t>
      </w:r>
    </w:p>
    <w:p>
      <w:pPr>
        <w:pStyle w:val="ListParagraph"/>
        <w:numPr>
          <w:ilvl w:val="0"/>
          <w:numId w:val="2"/>
        </w:numPr>
        <w:spacing w:before="60" w:after="60"/>
      </w:pPr>
      <w:r>
        <w:rPr>
          <w:rFonts w:ascii="Arial" w:cs="Arial" w:eastAsia="Arial" w:hAnsi="Arial"/>
          <w:b w:val="false"/>
          <w:bCs w:val="false"/>
          <w:color w:val="1A1A1A"/>
          <w:sz w:val="22"/>
          <w:szCs w:val="22"/>
        </w:rPr>
        <w:t xml:space="preserve">Online and hybrid teaching effectiveness: Special techniques for engaging students in virtual and blended environments.</w:t>
      </w:r>
    </w:p>
    <w:p>
      <w:pPr>
        <w:spacing w:before="40" w:after="40"/>
      </w:pPr>
      <w:r>
        <w:t xml:space="preserve"/>
      </w:r>
    </w:p>
    <w:p>
      <w:pPr>
        <w:spacing w:before="220" w:after="80"/>
      </w:pPr>
      <w:r>
        <w:rPr>
          <w:rFonts w:ascii="Arial" w:cs="Arial" w:eastAsia="Arial" w:hAnsi="Arial"/>
          <w:b/>
          <w:bCs/>
          <w:color w:val="7B3FA0"/>
          <w:sz w:val="24"/>
          <w:szCs w:val="24"/>
        </w:rPr>
        <w:t xml:space="preserve">11.2.3 Domain &amp; Technical Upskilling</w:t>
      </w:r>
    </w:p>
    <w:p>
      <w:pPr>
        <w:pStyle w:val="ListParagraph"/>
        <w:numPr>
          <w:ilvl w:val="0"/>
          <w:numId w:val="2"/>
        </w:numPr>
        <w:spacing w:before="60" w:after="60"/>
      </w:pPr>
      <w:r>
        <w:rPr>
          <w:rFonts w:ascii="Arial" w:cs="Arial" w:eastAsia="Arial" w:hAnsi="Arial"/>
          <w:b w:val="false"/>
          <w:bCs w:val="false"/>
          <w:color w:val="1A1A1A"/>
          <w:sz w:val="22"/>
          <w:szCs w:val="22"/>
        </w:rPr>
        <w:t xml:space="preserve">Subject-specific update programmes: Industry developments, new tools, and emerging research in the teacher's teaching domain.</w:t>
      </w:r>
    </w:p>
    <w:p>
      <w:pPr>
        <w:pStyle w:val="ListParagraph"/>
        <w:numPr>
          <w:ilvl w:val="0"/>
          <w:numId w:val="2"/>
        </w:numPr>
        <w:spacing w:before="60" w:after="60"/>
      </w:pPr>
      <w:r>
        <w:rPr>
          <w:rFonts w:ascii="Arial" w:cs="Arial" w:eastAsia="Arial" w:hAnsi="Arial"/>
          <w:b w:val="false"/>
          <w:bCs w:val="false"/>
          <w:color w:val="1A1A1A"/>
          <w:sz w:val="22"/>
          <w:szCs w:val="22"/>
        </w:rPr>
        <w:t xml:space="preserve">Technology integration training: Using data analysis tools, simulation software, and AI-assisted teaching tools in classrooms.</w:t>
      </w:r>
    </w:p>
    <w:p>
      <w:pPr>
        <w:pStyle w:val="ListParagraph"/>
        <w:numPr>
          <w:ilvl w:val="0"/>
          <w:numId w:val="2"/>
        </w:numPr>
        <w:spacing w:before="60" w:after="60"/>
      </w:pPr>
      <w:r>
        <w:rPr>
          <w:rFonts w:ascii="Arial" w:cs="Arial" w:eastAsia="Arial" w:hAnsi="Arial"/>
          <w:b w:val="false"/>
          <w:bCs w:val="false"/>
          <w:color w:val="1A1A1A"/>
          <w:sz w:val="22"/>
          <w:szCs w:val="22"/>
        </w:rPr>
        <w:t xml:space="preserve">Research methods training: Systematic review methodology, quantitative and qualitative research tools, grant writing, and publication strategy.</w:t>
      </w:r>
    </w:p>
    <w:p>
      <w:pPr>
        <w:spacing w:before="40" w:after="40"/>
      </w:pPr>
      <w:r>
        <w:t xml:space="preserve"/>
      </w:r>
    </w:p>
    <w:p>
      <w:pPr>
        <w:spacing w:before="220" w:after="80"/>
      </w:pPr>
      <w:r>
        <w:rPr>
          <w:rFonts w:ascii="Arial" w:cs="Arial" w:eastAsia="Arial" w:hAnsi="Arial"/>
          <w:b/>
          <w:bCs/>
          <w:color w:val="7B3FA0"/>
          <w:sz w:val="24"/>
          <w:szCs w:val="24"/>
        </w:rPr>
        <w:t xml:space="preserve">11.2.4 Compliance &amp; Policy Training</w:t>
      </w:r>
    </w:p>
    <w:p>
      <w:pPr>
        <w:pStyle w:val="ListParagraph"/>
        <w:numPr>
          <w:ilvl w:val="0"/>
          <w:numId w:val="2"/>
        </w:numPr>
        <w:spacing w:before="60" w:after="60"/>
      </w:pPr>
      <w:r>
        <w:rPr>
          <w:rFonts w:ascii="Arial" w:cs="Arial" w:eastAsia="Arial" w:hAnsi="Arial"/>
          <w:b w:val="false"/>
          <w:bCs w:val="false"/>
          <w:color w:val="1A1A1A"/>
          <w:sz w:val="22"/>
          <w:szCs w:val="22"/>
        </w:rPr>
        <w:t xml:space="preserve">Anti-ragging and student welfare regulations — mandatory annually.</w:t>
      </w:r>
    </w:p>
    <w:p>
      <w:pPr>
        <w:pStyle w:val="ListParagraph"/>
        <w:numPr>
          <w:ilvl w:val="0"/>
          <w:numId w:val="2"/>
        </w:numPr>
        <w:spacing w:before="60" w:after="60"/>
      </w:pPr>
      <w:r>
        <w:rPr>
          <w:rFonts w:ascii="Arial" w:cs="Arial" w:eastAsia="Arial" w:hAnsi="Arial"/>
          <w:b w:val="false"/>
          <w:bCs w:val="false"/>
          <w:color w:val="1A1A1A"/>
          <w:sz w:val="22"/>
          <w:szCs w:val="22"/>
        </w:rPr>
        <w:t xml:space="preserve">Gender sensitivity and POSH (Prevention of Sexual Harassment) training — mandatory annually with certification.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Academic integrity: plagiarism prevention, ethical authorship, and exam integrity training.</w:t>
      </w:r>
    </w:p>
    <w:p>
      <w:pPr>
        <w:pStyle w:val="ListParagraph"/>
        <w:numPr>
          <w:ilvl w:val="0"/>
          <w:numId w:val="2"/>
        </w:numPr>
        <w:spacing w:before="60" w:after="60"/>
      </w:pPr>
      <w:r>
        <w:rPr>
          <w:rFonts w:ascii="Arial" w:cs="Arial" w:eastAsia="Arial" w:hAnsi="Arial"/>
          <w:b w:val="false"/>
          <w:bCs w:val="false"/>
          <w:color w:val="1A1A1A"/>
          <w:sz w:val="22"/>
          <w:szCs w:val="22"/>
        </w:rPr>
        <w:t xml:space="preserve">Data privacy and platform security: Responsible handling of student data, password hygiene, and phishing awareness.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11.3 Programme Design &amp; Delivery</w:t>
      </w:r>
    </w:p>
    <w:p>
      <w:pPr>
        <w:spacing w:before="220" w:after="80"/>
      </w:pPr>
      <w:r>
        <w:rPr>
          <w:rFonts w:ascii="Arial" w:cs="Arial" w:eastAsia="Arial" w:hAnsi="Arial"/>
          <w:b/>
          <w:bCs/>
          <w:color w:val="7B3FA0"/>
          <w:sz w:val="24"/>
          <w:szCs w:val="24"/>
        </w:rPr>
        <w:t xml:space="preserve">11.3.1 Programme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Micro-Learning 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15–30 minute self-paced video modules on a single concept; ideal for compliance and tool training; accessible on mobile</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Workshop Series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3–5 session structured programme (each 2–3 hours); facilitator-led; includes exercises and group activities; live or recorded</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Intensive FDP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 day intensive programme (full days); residential or on-campus; domain deep-dives; certificate issued on completion</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Blended Programme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Combination of self-paced pre-reading, live sessions, peer exercises, and post-session assessments; most effective for pedagogical change</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Peer Learning Circles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Small group (4–6 teachers) facilitated discussion and observation programme; each participant teaches while peers observe and provide structured feedback</w:t>
            </w:r>
          </w:p>
        </w:tc>
      </w:tr>
    </w:tbl>
    <w:p>
      <w:pPr>
        <w:spacing w:before="40" w:after="40"/>
      </w:pPr>
      <w:r>
        <w:t xml:space="preserve"/>
      </w:r>
    </w:p>
    <w:p>
      <w:pPr>
        <w:spacing w:before="220" w:after="80"/>
      </w:pPr>
      <w:r>
        <w:rPr>
          <w:rFonts w:ascii="Arial" w:cs="Arial" w:eastAsia="Arial" w:hAnsi="Arial"/>
          <w:b/>
          <w:bCs/>
          <w:color w:val="7B3FA0"/>
          <w:sz w:val="24"/>
          <w:szCs w:val="24"/>
        </w:rPr>
        <w:t xml:space="preserve">11.3.2 Programme Management</w:t>
      </w:r>
    </w:p>
    <w:p>
      <w:pPr>
        <w:pStyle w:val="ListParagraph"/>
        <w:numPr>
          <w:ilvl w:val="0"/>
          <w:numId w:val="2"/>
        </w:numPr>
        <w:spacing w:before="60" w:after="60"/>
      </w:pPr>
      <w:r>
        <w:rPr>
          <w:rFonts w:ascii="Arial" w:cs="Arial" w:eastAsia="Arial" w:hAnsi="Arial"/>
          <w:b w:val="false"/>
          <w:bCs w:val="false"/>
          <w:color w:val="1A1A1A"/>
          <w:sz w:val="22"/>
          <w:szCs w:val="22"/>
        </w:rPr>
        <w:t xml:space="preserve">Programme catalogue: Browse and enrol in available programmes; waitlist management for capacity-limited workshops.</w:t>
      </w:r>
    </w:p>
    <w:p>
      <w:pPr>
        <w:pStyle w:val="ListParagraph"/>
        <w:numPr>
          <w:ilvl w:val="0"/>
          <w:numId w:val="2"/>
        </w:numPr>
        <w:spacing w:before="60" w:after="60"/>
      </w:pPr>
      <w:r>
        <w:rPr>
          <w:rFonts w:ascii="Arial" w:cs="Arial" w:eastAsia="Arial" w:hAnsi="Arial"/>
          <w:b w:val="false"/>
          <w:bCs w:val="false"/>
          <w:color w:val="1A1A1A"/>
          <w:sz w:val="22"/>
          <w:szCs w:val="22"/>
        </w:rPr>
        <w:t xml:space="preserve">Cohort management: Group faculty into cohorts for programmes with peer interaction components; cohort-based progress tracking.</w:t>
      </w:r>
    </w:p>
    <w:p>
      <w:pPr>
        <w:pStyle w:val="ListParagraph"/>
        <w:numPr>
          <w:ilvl w:val="0"/>
          <w:numId w:val="2"/>
        </w:numPr>
        <w:spacing w:before="60" w:after="60"/>
      </w:pPr>
      <w:r>
        <w:rPr>
          <w:rFonts w:ascii="Arial" w:cs="Arial" w:eastAsia="Arial" w:hAnsi="Arial"/>
          <w:b w:val="false"/>
          <w:bCs w:val="false"/>
          <w:color w:val="1A1A1A"/>
          <w:sz w:val="22"/>
          <w:szCs w:val="22"/>
        </w:rPr>
        <w:t xml:space="preserve">Facilitator management: Internal and external facilitators registered on the platform; session delivery confirmed by facilitator post-session.</w:t>
      </w:r>
    </w:p>
    <w:p>
      <w:pPr>
        <w:pStyle w:val="ListParagraph"/>
        <w:numPr>
          <w:ilvl w:val="0"/>
          <w:numId w:val="2"/>
        </w:numPr>
        <w:spacing w:before="60" w:after="60"/>
      </w:pPr>
      <w:r>
        <w:rPr>
          <w:rFonts w:ascii="Arial" w:cs="Arial" w:eastAsia="Arial" w:hAnsi="Arial"/>
          <w:b w:val="false"/>
          <w:bCs w:val="false"/>
          <w:color w:val="1A1A1A"/>
          <w:sz w:val="22"/>
          <w:szCs w:val="22"/>
        </w:rPr>
        <w:t xml:space="preserve">Attendance and engagement tracking: Session-by-session attendance; quiz completion; assignment submission; participation scores.</w:t>
      </w:r>
    </w:p>
    <w:p>
      <w:pPr>
        <w:pStyle w:val="ListParagraph"/>
        <w:numPr>
          <w:ilvl w:val="0"/>
          <w:numId w:val="2"/>
        </w:numPr>
        <w:spacing w:before="60" w:after="60"/>
      </w:pPr>
      <w:r>
        <w:rPr>
          <w:rFonts w:ascii="Arial" w:cs="Arial" w:eastAsia="Arial" w:hAnsi="Arial"/>
          <w:b w:val="false"/>
          <w:bCs w:val="false"/>
          <w:color w:val="1A1A1A"/>
          <w:sz w:val="22"/>
          <w:szCs w:val="22"/>
        </w:rPr>
        <w:t xml:space="preserve">Certificate generation: Automated, verifiable certificates issued on successful completion with credential vault upload.</w:t>
      </w:r>
    </w:p>
    <w:p>
      <w:pPr>
        <w:pStyle w:val="ListParagraph"/>
        <w:numPr>
          <w:ilvl w:val="0"/>
          <w:numId w:val="2"/>
        </w:numPr>
        <w:spacing w:before="60" w:after="60"/>
      </w:pPr>
      <w:r>
        <w:rPr>
          <w:rFonts w:ascii="Arial" w:cs="Arial" w:eastAsia="Arial" w:hAnsi="Arial"/>
          <w:b w:val="false"/>
          <w:bCs w:val="false"/>
          <w:color w:val="1A1A1A"/>
          <w:sz w:val="22"/>
          <w:szCs w:val="22"/>
        </w:rPr>
        <w:t xml:space="preserve">Programme feedback: Post-programme satisfaction survey for facilitator performance, content relevance, and logistical quality.</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12: Teacher Analytics Dashboard</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12.1 Overview</w:t>
      </w:r>
    </w:p>
    <w:p>
      <w:pPr>
        <w:spacing w:before="80" w:after="80"/>
      </w:pPr>
      <w:r>
        <w:rPr>
          <w:rFonts w:ascii="Arial" w:cs="Arial" w:eastAsia="Arial" w:hAnsi="Arial"/>
          <w:color w:val="1A1A1A"/>
          <w:sz w:val="22"/>
          <w:szCs w:val="22"/>
        </w:rPr>
        <w:t xml:space="preserve">The Teacher Analytics Dashboard is the unified, real-time intelligence hub that aggregates data from every faculty management feature — attendance, workload, subject performance, student feedback, professional development, training completion, and evaluation scores — into a single, visually rich, role-appropriate interface. It serves different users with different lenses: teachers get a personal performance mirror; department heads get a team management cockpit; and institute administrators get a strategic workforce planning tool. The dashboard transforms the institution's faculty data from a passive record into an active management intelligence resource.</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12.2 Dashboard Views by Role</w:t>
      </w:r>
    </w:p>
    <w:p>
      <w:pPr>
        <w:spacing w:before="220" w:after="80"/>
      </w:pPr>
      <w:r>
        <w:rPr>
          <w:rFonts w:ascii="Arial" w:cs="Arial" w:eastAsia="Arial" w:hAnsi="Arial"/>
          <w:b/>
          <w:bCs/>
          <w:color w:val="7B3FA0"/>
          <w:sz w:val="24"/>
          <w:szCs w:val="24"/>
        </w:rPr>
        <w:t xml:space="preserve">12.2.1 Teacher Self-View</w:t>
      </w:r>
    </w:p>
    <w:p>
      <w:pPr>
        <w:spacing w:before="80" w:after="80"/>
      </w:pPr>
      <w:r>
        <w:rPr>
          <w:rFonts w:ascii="Arial" w:cs="Arial" w:eastAsia="Arial" w:hAnsi="Arial"/>
          <w:color w:val="1A1A1A"/>
          <w:sz w:val="22"/>
          <w:szCs w:val="22"/>
        </w:rPr>
        <w:t xml:space="preserve">Each faculty member has access to their personal analytics dashboard showing:</w:t>
      </w:r>
    </w:p>
    <w:p>
      <w:pPr>
        <w:pStyle w:val="ListParagraph"/>
        <w:numPr>
          <w:ilvl w:val="0"/>
          <w:numId w:val="2"/>
        </w:numPr>
        <w:spacing w:before="60" w:after="60"/>
      </w:pPr>
      <w:r>
        <w:rPr>
          <w:rFonts w:ascii="Arial" w:cs="Arial" w:eastAsia="Arial" w:hAnsi="Arial"/>
          <w:b w:val="false"/>
          <w:bCs w:val="false"/>
          <w:color w:val="1A1A1A"/>
          <w:sz w:val="22"/>
          <w:szCs w:val="22"/>
        </w:rPr>
        <w:t xml:space="preserve">Performance Overview Card: Overall evaluation score, rank within department (percentile), and trend direction (improving / stable / declining) — the single most important at-a-glance metric.</w:t>
      </w:r>
    </w:p>
    <w:p>
      <w:pPr>
        <w:pStyle w:val="ListParagraph"/>
        <w:numPr>
          <w:ilvl w:val="0"/>
          <w:numId w:val="2"/>
        </w:numPr>
        <w:spacing w:before="60" w:after="60"/>
      </w:pPr>
      <w:r>
        <w:rPr>
          <w:rFonts w:ascii="Arial" w:cs="Arial" w:eastAsia="Arial" w:hAnsi="Arial"/>
          <w:b w:val="false"/>
          <w:bCs w:val="false"/>
          <w:color w:val="1A1A1A"/>
          <w:sz w:val="22"/>
          <w:szCs w:val="22"/>
        </w:rPr>
        <w:t xml:space="preserve">Teaching Effectiveness Panel: Student feedback trend across the last 6 semesters; subject-level feedback breakdown showing which subjects receive highest and lowest ratings; actionable improvement suggestions linked to lowest-rated dimensions.</w:t>
      </w:r>
    </w:p>
    <w:p>
      <w:pPr>
        <w:pStyle w:val="ListParagraph"/>
        <w:numPr>
          <w:ilvl w:val="0"/>
          <w:numId w:val="2"/>
        </w:numPr>
        <w:spacing w:before="60" w:after="60"/>
      </w:pPr>
      <w:r>
        <w:rPr>
          <w:rFonts w:ascii="Arial" w:cs="Arial" w:eastAsia="Arial" w:hAnsi="Arial"/>
          <w:b w:val="false"/>
          <w:bCs w:val="false"/>
          <w:color w:val="1A1A1A"/>
          <w:sz w:val="22"/>
          <w:szCs w:val="22"/>
        </w:rPr>
        <w:t xml:space="preserve">Workload Summary: Current week's effective hours, semester workload trend, load distribution by category (Teaching/Assessment/Admin/Research), and projected next-4-weeks load.</w:t>
      </w:r>
    </w:p>
    <w:p>
      <w:pPr>
        <w:pStyle w:val="ListParagraph"/>
        <w:numPr>
          <w:ilvl w:val="0"/>
          <w:numId w:val="2"/>
        </w:numPr>
        <w:spacing w:before="60" w:after="60"/>
      </w:pPr>
      <w:r>
        <w:rPr>
          <w:rFonts w:ascii="Arial" w:cs="Arial" w:eastAsia="Arial" w:hAnsi="Arial"/>
          <w:b w:val="false"/>
          <w:bCs w:val="false"/>
          <w:color w:val="1A1A1A"/>
          <w:sz w:val="22"/>
          <w:szCs w:val="22"/>
        </w:rPr>
        <w:t xml:space="preserve">Attendance &amp; Punctuality Record: Current semester attendance percentage, session delivery compliance rate (sessions delivered vs. scheduled), average start-time deviation, and leave balance by type.</w:t>
      </w:r>
    </w:p>
    <w:p>
      <w:pPr>
        <w:pStyle w:val="ListParagraph"/>
        <w:numPr>
          <w:ilvl w:val="0"/>
          <w:numId w:val="2"/>
        </w:numPr>
        <w:spacing w:before="60" w:after="60"/>
      </w:pPr>
      <w:r>
        <w:rPr>
          <w:rFonts w:ascii="Arial" w:cs="Arial" w:eastAsia="Arial" w:hAnsi="Arial"/>
          <w:b w:val="false"/>
          <w:bCs w:val="false"/>
          <w:color w:val="1A1A1A"/>
          <w:sz w:val="22"/>
          <w:szCs w:val="22"/>
        </w:rPr>
        <w:t xml:space="preserve">Professional Development Progress: Annual PD hours accumulated vs. target, PD category balance, upcoming certification expiry alerts, and recommended next PD activities.</w:t>
      </w:r>
    </w:p>
    <w:p>
      <w:pPr>
        <w:pStyle w:val="ListParagraph"/>
        <w:numPr>
          <w:ilvl w:val="0"/>
          <w:numId w:val="2"/>
        </w:numPr>
        <w:spacing w:before="60" w:after="60"/>
      </w:pPr>
      <w:r>
        <w:rPr>
          <w:rFonts w:ascii="Arial" w:cs="Arial" w:eastAsia="Arial" w:hAnsi="Arial"/>
          <w:b w:val="false"/>
          <w:bCs w:val="false"/>
          <w:color w:val="1A1A1A"/>
          <w:sz w:val="22"/>
          <w:szCs w:val="22"/>
        </w:rPr>
        <w:t xml:space="preserve">Student Outcome Metrics: Pass rates and average scores for the teacher's students this semester vs. institutional average — the data the teacher sees about their academic impact.</w:t>
      </w:r>
    </w:p>
    <w:p>
      <w:pPr>
        <w:pStyle w:val="ListParagraph"/>
        <w:numPr>
          <w:ilvl w:val="0"/>
          <w:numId w:val="2"/>
        </w:numPr>
        <w:spacing w:before="60" w:after="60"/>
      </w:pPr>
      <w:r>
        <w:rPr>
          <w:rFonts w:ascii="Arial" w:cs="Arial" w:eastAsia="Arial" w:hAnsi="Arial"/>
          <w:b w:val="false"/>
          <w:bCs w:val="false"/>
          <w:color w:val="1A1A1A"/>
          <w:sz w:val="22"/>
          <w:szCs w:val="22"/>
        </w:rPr>
        <w:t xml:space="preserve">Goals &amp; Action Items: Self-set improvement goals with progress tracking; pending action items from the last evaluation report; upcoming deadlines (training completion, credential renewal, etc.).</w:t>
      </w:r>
    </w:p>
    <w:p>
      <w:pPr>
        <w:spacing w:before="40" w:after="40"/>
      </w:pPr>
      <w:r>
        <w:t xml:space="preserve"/>
      </w:r>
    </w:p>
    <w:p>
      <w:pPr>
        <w:spacing w:before="220" w:after="80"/>
      </w:pPr>
      <w:r>
        <w:rPr>
          <w:rFonts w:ascii="Arial" w:cs="Arial" w:eastAsia="Arial" w:hAnsi="Arial"/>
          <w:b/>
          <w:bCs/>
          <w:color w:val="7B3FA0"/>
          <w:sz w:val="24"/>
          <w:szCs w:val="24"/>
        </w:rPr>
        <w:t xml:space="preserve">12.2.2 Department Head View</w:t>
      </w:r>
    </w:p>
    <w:p>
      <w:pPr>
        <w:spacing w:before="80" w:after="80"/>
      </w:pPr>
      <w:r>
        <w:rPr>
          <w:rFonts w:ascii="Arial" w:cs="Arial" w:eastAsia="Arial" w:hAnsi="Arial"/>
          <w:color w:val="1A1A1A"/>
          <w:sz w:val="22"/>
          <w:szCs w:val="22"/>
        </w:rPr>
        <w:t xml:space="preserve">HODs access a team-level analytics dashboard with:</w:t>
      </w:r>
    </w:p>
    <w:p>
      <w:pPr>
        <w:pStyle w:val="ListParagraph"/>
        <w:numPr>
          <w:ilvl w:val="0"/>
          <w:numId w:val="2"/>
        </w:numPr>
        <w:spacing w:before="60" w:after="60"/>
      </w:pPr>
      <w:r>
        <w:rPr>
          <w:rFonts w:ascii="Arial" w:cs="Arial" w:eastAsia="Arial" w:hAnsi="Arial"/>
          <w:b w:val="false"/>
          <w:bCs w:val="false"/>
          <w:color w:val="1A1A1A"/>
          <w:sz w:val="22"/>
          <w:szCs w:val="22"/>
        </w:rPr>
        <w:t xml:space="preserve">Team Performance Summary: Distribution of overall evaluation scores across all department faculty — histogram showing proportion in each performance band.</w:t>
      </w:r>
    </w:p>
    <w:p>
      <w:pPr>
        <w:pStyle w:val="ListParagraph"/>
        <w:numPr>
          <w:ilvl w:val="0"/>
          <w:numId w:val="2"/>
        </w:numPr>
        <w:spacing w:before="60" w:after="60"/>
      </w:pPr>
      <w:r>
        <w:rPr>
          <w:rFonts w:ascii="Arial" w:cs="Arial" w:eastAsia="Arial" w:hAnsi="Arial"/>
          <w:b w:val="false"/>
          <w:bCs w:val="false"/>
          <w:color w:val="1A1A1A"/>
          <w:sz w:val="22"/>
          <w:szCs w:val="22"/>
        </w:rPr>
        <w:t xml:space="preserve">Workload Equity Map: Side-by-side workload comparison for every department faculty member — immediately surfaces over- and under-utilisation for rebalancing.</w:t>
      </w:r>
    </w:p>
    <w:p>
      <w:pPr>
        <w:pStyle w:val="ListParagraph"/>
        <w:numPr>
          <w:ilvl w:val="0"/>
          <w:numId w:val="2"/>
        </w:numPr>
        <w:spacing w:before="60" w:after="60"/>
      </w:pPr>
      <w:r>
        <w:rPr>
          <w:rFonts w:ascii="Arial" w:cs="Arial" w:eastAsia="Arial" w:hAnsi="Arial"/>
          <w:b w:val="false"/>
          <w:bCs w:val="false"/>
          <w:color w:val="1A1A1A"/>
          <w:sz w:val="22"/>
          <w:szCs w:val="22"/>
        </w:rPr>
        <w:t xml:space="preserve">Attendance Heat Map: Calendar-based heat map of faculty attendance across the department — identifying chronic absence patterns, peak leave clusters, and coverage risk periods.</w:t>
      </w:r>
    </w:p>
    <w:p>
      <w:pPr>
        <w:pStyle w:val="ListParagraph"/>
        <w:numPr>
          <w:ilvl w:val="0"/>
          <w:numId w:val="2"/>
        </w:numPr>
        <w:spacing w:before="60" w:after="60"/>
      </w:pPr>
      <w:r>
        <w:rPr>
          <w:rFonts w:ascii="Arial" w:cs="Arial" w:eastAsia="Arial" w:hAnsi="Arial"/>
          <w:b w:val="false"/>
          <w:bCs w:val="false"/>
          <w:color w:val="1A1A1A"/>
          <w:sz w:val="22"/>
          <w:szCs w:val="22"/>
        </w:rPr>
        <w:t xml:space="preserve">Student Feedback Comparative Table: All faculty ranked by student feedback score within the department — with semester-on-semester change highlighted.</w:t>
      </w:r>
    </w:p>
    <w:p>
      <w:pPr>
        <w:pStyle w:val="ListParagraph"/>
        <w:numPr>
          <w:ilvl w:val="0"/>
          <w:numId w:val="2"/>
        </w:numPr>
        <w:spacing w:before="60" w:after="60"/>
      </w:pPr>
      <w:r>
        <w:rPr>
          <w:rFonts w:ascii="Arial" w:cs="Arial" w:eastAsia="Arial" w:hAnsi="Arial"/>
          <w:b w:val="false"/>
          <w:bCs w:val="false"/>
          <w:color w:val="1A1A1A"/>
          <w:sz w:val="22"/>
          <w:szCs w:val="22"/>
        </w:rPr>
        <w:t xml:space="preserve">PD Compliance Tracker: Which faculty members have and have not met annual PD hour requirements — with days remaining until compliance deadline.</w:t>
      </w:r>
    </w:p>
    <w:p>
      <w:pPr>
        <w:pStyle w:val="ListParagraph"/>
        <w:numPr>
          <w:ilvl w:val="0"/>
          <w:numId w:val="2"/>
        </w:numPr>
        <w:spacing w:before="60" w:after="60"/>
      </w:pPr>
      <w:r>
        <w:rPr>
          <w:rFonts w:ascii="Arial" w:cs="Arial" w:eastAsia="Arial" w:hAnsi="Arial"/>
          <w:b w:val="false"/>
          <w:bCs w:val="false"/>
          <w:color w:val="1A1A1A"/>
          <w:sz w:val="22"/>
          <w:szCs w:val="22"/>
        </w:rPr>
        <w:t xml:space="preserve">Subject Coverage Risk: Flag showing which subjects have only one qualified teacher (single point of failure) — prompting cross-training or backup allocation planning.</w:t>
      </w:r>
    </w:p>
    <w:p>
      <w:pPr>
        <w:pStyle w:val="ListParagraph"/>
        <w:numPr>
          <w:ilvl w:val="0"/>
          <w:numId w:val="2"/>
        </w:numPr>
        <w:spacing w:before="60" w:after="60"/>
      </w:pPr>
      <w:r>
        <w:rPr>
          <w:rFonts w:ascii="Arial" w:cs="Arial" w:eastAsia="Arial" w:hAnsi="Arial"/>
          <w:b w:val="false"/>
          <w:bCs w:val="false"/>
          <w:color w:val="1A1A1A"/>
          <w:sz w:val="22"/>
          <w:szCs w:val="22"/>
        </w:rPr>
        <w:t xml:space="preserve">At-Risk Faculty Alerts: Teachers whose performance, attendance, or workload indicators have crossed defined thresholds — prioritised list for HOD intervention.</w:t>
      </w:r>
    </w:p>
    <w:p>
      <w:pPr>
        <w:spacing w:before="40" w:after="40"/>
      </w:pPr>
      <w:r>
        <w:t xml:space="preserve"/>
      </w:r>
    </w:p>
    <w:p>
      <w:pPr>
        <w:spacing w:before="220" w:after="80"/>
      </w:pPr>
      <w:r>
        <w:rPr>
          <w:rFonts w:ascii="Arial" w:cs="Arial" w:eastAsia="Arial" w:hAnsi="Arial"/>
          <w:b/>
          <w:bCs/>
          <w:color w:val="7B3FA0"/>
          <w:sz w:val="24"/>
          <w:szCs w:val="24"/>
        </w:rPr>
        <w:t xml:space="preserve">12.2.3 Institute Administrator View</w:t>
      </w:r>
    </w:p>
    <w:p>
      <w:pPr>
        <w:spacing w:before="80" w:after="80"/>
      </w:pPr>
      <w:r>
        <w:rPr>
          <w:rFonts w:ascii="Arial" w:cs="Arial" w:eastAsia="Arial" w:hAnsi="Arial"/>
          <w:color w:val="1A1A1A"/>
          <w:sz w:val="22"/>
          <w:szCs w:val="22"/>
        </w:rPr>
        <w:t xml:space="preserve">Institute administrators have access to the highest-level strategic analytics:</w:t>
      </w:r>
    </w:p>
    <w:p>
      <w:pPr>
        <w:pStyle w:val="ListParagraph"/>
        <w:numPr>
          <w:ilvl w:val="0"/>
          <w:numId w:val="2"/>
        </w:numPr>
        <w:spacing w:before="60" w:after="60"/>
      </w:pPr>
      <w:r>
        <w:rPr>
          <w:rFonts w:ascii="Arial" w:cs="Arial" w:eastAsia="Arial" w:hAnsi="Arial"/>
          <w:b w:val="false"/>
          <w:bCs w:val="false"/>
          <w:color w:val="1A1A1A"/>
          <w:sz w:val="22"/>
          <w:szCs w:val="22"/>
        </w:rPr>
        <w:t xml:space="preserve">Faculty Strength Dashboard: Total headcount by department, employment type, qualification level, and gender — real-time organisational composition view.</w:t>
      </w:r>
    </w:p>
    <w:p>
      <w:pPr>
        <w:pStyle w:val="ListParagraph"/>
        <w:numPr>
          <w:ilvl w:val="0"/>
          <w:numId w:val="2"/>
        </w:numPr>
        <w:spacing w:before="60" w:after="60"/>
      </w:pPr>
      <w:r>
        <w:rPr>
          <w:rFonts w:ascii="Arial" w:cs="Arial" w:eastAsia="Arial" w:hAnsi="Arial"/>
          <w:b w:val="false"/>
          <w:bCs w:val="false"/>
          <w:color w:val="1A1A1A"/>
          <w:sz w:val="22"/>
          <w:szCs w:val="22"/>
        </w:rPr>
        <w:t xml:space="preserve">Institutional Performance Index: Aggregate faculty evaluation scores by department and by programme — enabling comparison of faculty quality across the institution.</w:t>
      </w:r>
    </w:p>
    <w:p>
      <w:pPr>
        <w:pStyle w:val="ListParagraph"/>
        <w:numPr>
          <w:ilvl w:val="0"/>
          <w:numId w:val="2"/>
        </w:numPr>
        <w:spacing w:before="60" w:after="60"/>
      </w:pPr>
      <w:r>
        <w:rPr>
          <w:rFonts w:ascii="Arial" w:cs="Arial" w:eastAsia="Arial" w:hAnsi="Arial"/>
          <w:b w:val="false"/>
          <w:bCs w:val="false"/>
          <w:color w:val="1A1A1A"/>
          <w:sz w:val="22"/>
          <w:szCs w:val="22"/>
        </w:rPr>
        <w:t xml:space="preserve">Credential Compliance Status: Percentage of faculty with fully validated credentials by department and designation — NAAC/AICTE readiness indicator.</w:t>
      </w:r>
    </w:p>
    <w:p>
      <w:pPr>
        <w:pStyle w:val="ListParagraph"/>
        <w:numPr>
          <w:ilvl w:val="0"/>
          <w:numId w:val="2"/>
        </w:numPr>
        <w:spacing w:before="60" w:after="60"/>
      </w:pPr>
      <w:r>
        <w:rPr>
          <w:rFonts w:ascii="Arial" w:cs="Arial" w:eastAsia="Arial" w:hAnsi="Arial"/>
          <w:b w:val="false"/>
          <w:bCs w:val="false"/>
          <w:color w:val="1A1A1A"/>
          <w:sz w:val="22"/>
          <w:szCs w:val="22"/>
        </w:rPr>
        <w:t xml:space="preserve">Training ROI Analytics: Correlation between training programme completions and evaluation score improvements — evidence of training effectiveness for budget justification.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Attrition &amp; Retention Indicators: Identification of faculty with declining performance trends, high leave utilisation, or low engagement signals — early warning indicators for attrition risk.</w:t>
      </w:r>
    </w:p>
    <w:p>
      <w:pPr>
        <w:pStyle w:val="ListParagraph"/>
        <w:numPr>
          <w:ilvl w:val="0"/>
          <w:numId w:val="2"/>
        </w:numPr>
        <w:spacing w:before="60" w:after="60"/>
      </w:pPr>
      <w:r>
        <w:rPr>
          <w:rFonts w:ascii="Arial" w:cs="Arial" w:eastAsia="Arial" w:hAnsi="Arial"/>
          <w:b w:val="false"/>
          <w:bCs w:val="false"/>
          <w:color w:val="1A1A1A"/>
          <w:sz w:val="22"/>
          <w:szCs w:val="22"/>
        </w:rPr>
        <w:t xml:space="preserve">Hiring Gap Analysis: Based on current workload data, qualification requirements, and student enrolment projections, the system identifies departments where new hiring is needed and what qualification profile is required.</w:t>
      </w:r>
    </w:p>
    <w:p>
      <w:pPr>
        <w:pStyle w:val="ListParagraph"/>
        <w:numPr>
          <w:ilvl w:val="0"/>
          <w:numId w:val="2"/>
        </w:numPr>
        <w:spacing w:before="60" w:after="60"/>
      </w:pPr>
      <w:r>
        <w:rPr>
          <w:rFonts w:ascii="Arial" w:cs="Arial" w:eastAsia="Arial" w:hAnsi="Arial"/>
          <w:b w:val="false"/>
          <w:bCs w:val="false"/>
          <w:color w:val="1A1A1A"/>
          <w:sz w:val="22"/>
          <w:szCs w:val="22"/>
        </w:rPr>
        <w:t xml:space="preserve">Regulatory Audit Package: One-click generation of all data tables required for NAAC self-study reports, AICTE annual disclosures, and UGC compliance returns — formatted to regulatory specifications.</w:t>
      </w:r>
    </w:p>
    <w:p>
      <w:pPr>
        <w:spacing w:before="40" w:after="40"/>
      </w:pPr>
      <w:r>
        <w:t xml:space="preserve"/>
      </w:r>
    </w:p>
    <w:p>
      <w:pPr>
        <w:pStyle w:val="Heading2"/>
        <w:spacing w:before="300" w:after="120"/>
      </w:pPr>
      <w:r>
        <w:rPr>
          <w:rFonts w:ascii="Arial" w:cs="Arial" w:eastAsia="Arial" w:hAnsi="Arial"/>
          <w:b/>
          <w:bCs/>
          <w:color w:val="2563A8"/>
          <w:sz w:val="28"/>
          <w:szCs w:val="28"/>
        </w:rPr>
        <w:t xml:space="preserve">12.3 Analytics Technical Architecture</w:t>
      </w:r>
    </w:p>
    <w:p>
      <w:pPr>
        <w:spacing w:before="220" w:after="80"/>
      </w:pPr>
      <w:r>
        <w:rPr>
          <w:rFonts w:ascii="Arial" w:cs="Arial" w:eastAsia="Arial" w:hAnsi="Arial"/>
          <w:b/>
          <w:bCs/>
          <w:color w:val="7B3FA0"/>
          <w:sz w:val="24"/>
          <w:szCs w:val="24"/>
        </w:rPr>
        <w:t xml:space="preserve">12.3.1 Data Freshness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Attendance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Real-time (biometric/app sync); page refresh shows latest status</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Workload Data</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Updated daily (recalculated each night based on schedule and log data)</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Student Feedback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Updated at end of each survey window; historical data permanent</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Evaluation Scores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Updated at end of each evaluation cycle; trend charts updated immediately on new cycle completion</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PD &amp; Training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Real-time for platform-hosted activities; within 24 hours for admin-approved external activities</w:t>
            </w:r>
          </w:p>
        </w:tc>
      </w:tr>
      <w:tr>
        <w:tc>
          <w:tcPr>
            <w:tcW w:type="dxa" w:w="3000"/>
            <w:tcBorders>
              <w:top w:val="single" w:color="CCCCCC" w:sz="1"/>
              <w:left w:val="single" w:color="CCCCCC" w:sz="1"/>
              <w:bottom w:val="single" w:color="CCCCCC" w:sz="1"/>
              <w:right w:val="single" w:color="CCCCCC" w:sz="1"/>
            </w:tcBorders>
            <w:shd w:fill="D6E6F7" w:val="clear"/>
            <w:tcMar>
              <w:top w:type="dxa" w:w="80"/>
              <w:left w:type="dxa" w:w="140"/>
              <w:bottom w:type="dxa" w:w="80"/>
              <w:right w:type="dxa" w:w="140"/>
            </w:tcMar>
          </w:tcPr>
          <w:p>
            <w:r>
              <w:rPr>
                <w:rFonts w:ascii="Arial" w:cs="Arial" w:eastAsia="Arial" w:hAnsi="Arial"/>
                <w:b/>
                <w:bCs/>
                <w:color w:val="1B3A6B"/>
                <w:sz w:val="20"/>
                <w:szCs w:val="20"/>
              </w:rPr>
              <w:t xml:space="preserve">Research &amp; Publications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color w:val="1A1A1A"/>
                <w:sz w:val="20"/>
                <w:szCs w:val="20"/>
              </w:rPr>
              <w:t xml:space="preserve">Within 48 hours of admin verification of submitted records</w:t>
            </w:r>
          </w:p>
        </w:tc>
      </w:tr>
    </w:tbl>
    <w:p>
      <w:pPr>
        <w:spacing w:before="40" w:after="40"/>
      </w:pPr>
      <w:r>
        <w:t xml:space="preserve"/>
      </w:r>
    </w:p>
    <w:p>
      <w:pPr>
        <w:spacing w:before="220" w:after="80"/>
      </w:pPr>
      <w:r>
        <w:rPr>
          <w:rFonts w:ascii="Arial" w:cs="Arial" w:eastAsia="Arial" w:hAnsi="Arial"/>
          <w:b/>
          <w:bCs/>
          <w:color w:val="7B3FA0"/>
          <w:sz w:val="24"/>
          <w:szCs w:val="24"/>
        </w:rPr>
        <w:t xml:space="preserve">12.3.2 Export &amp; Integration</w:t>
      </w:r>
    </w:p>
    <w:p>
      <w:pPr>
        <w:pStyle w:val="ListParagraph"/>
        <w:numPr>
          <w:ilvl w:val="0"/>
          <w:numId w:val="2"/>
        </w:numPr>
        <w:spacing w:before="60" w:after="60"/>
      </w:pPr>
      <w:r>
        <w:rPr>
          <w:rFonts w:ascii="Arial" w:cs="Arial" w:eastAsia="Arial" w:hAnsi="Arial"/>
          <w:b w:val="false"/>
          <w:bCs w:val="false"/>
          <w:color w:val="1A1A1A"/>
          <w:sz w:val="22"/>
          <w:szCs w:val="22"/>
        </w:rPr>
        <w:t xml:space="preserve">All dashboard views exportable as PDF, Excel, or CSV for offline use and external reporting.</w:t>
      </w:r>
    </w:p>
    <w:p>
      <w:pPr>
        <w:pStyle w:val="ListParagraph"/>
        <w:numPr>
          <w:ilvl w:val="0"/>
          <w:numId w:val="2"/>
        </w:numPr>
        <w:spacing w:before="60" w:after="60"/>
      </w:pPr>
      <w:r>
        <w:rPr>
          <w:rFonts w:ascii="Arial" w:cs="Arial" w:eastAsia="Arial" w:hAnsi="Arial"/>
          <w:b w:val="false"/>
          <w:bCs w:val="false"/>
          <w:color w:val="1A1A1A"/>
          <w:sz w:val="22"/>
          <w:szCs w:val="22"/>
        </w:rPr>
        <w:t xml:space="preserve">API access for integration with HRMS, ERP, or payroll systems (REST API with OAuth 2.0 authentication).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Scheduled report delivery: Configure any dashboard report to be automatically emailed to designated recipients on a daily, weekly, or monthly schedule.</w:t>
      </w:r>
    </w:p>
    <w:p>
      <w:pPr>
        <w:pStyle w:val="ListParagraph"/>
        <w:numPr>
          <w:ilvl w:val="0"/>
          <w:numId w:val="2"/>
        </w:numPr>
        <w:spacing w:before="60" w:after="60"/>
      </w:pPr>
      <w:r>
        <w:rPr>
          <w:rFonts w:ascii="Arial" w:cs="Arial" w:eastAsia="Arial" w:hAnsi="Arial"/>
          <w:b w:val="false"/>
          <w:bCs w:val="false"/>
          <w:color w:val="1A1A1A"/>
          <w:sz w:val="22"/>
          <w:szCs w:val="22"/>
        </w:rPr>
        <w:t xml:space="preserve">Custom dashboard builder: Admins can create custom analytics views by selecting specific metrics, filters, and visualisation types — saving them as named dashboards for recurring use.</w:t>
      </w:r>
    </w:p>
    <w:p>
      <w:pPr>
        <w:spacing w:before="40" w:after="40"/>
      </w:pPr>
      <w:r>
        <w:t xml:space="preserve"/>
      </w:r>
    </w:p>
    <w:p>
      <w:pPr>
        <w:spacing w:before="40" w:after="40"/>
      </w:pPr>
      <w:r>
        <w:t xml:space="preserve"/>
      </w:r>
    </w:p>
    <w:p>
      <w:pPr>
        <w:pStyle w:val="Heading1"/>
        <w:pBdr>
          <w:bottom w:val="single" w:color="1B3A6B" w:sz="12" w:space="5"/>
        </w:pBdr>
        <w:spacing w:before="480" w:after="200"/>
      </w:pPr>
      <w:r>
        <w:rPr>
          <w:rFonts w:ascii="Arial" w:cs="Arial" w:eastAsia="Arial" w:hAnsi="Arial"/>
          <w:b/>
          <w:bCs/>
          <w:color w:val="1B3A6B"/>
          <w:sz w:val="38"/>
          <w:szCs w:val="38"/>
        </w:rPr>
        <w:t xml:space="preserve">Feature Summary Matrix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760"/>
        <w:gridCol w:w="1700"/>
        <w:gridCol w:w="1300"/>
      </w:tblGrid>
      <w:tr>
        <w:trPr>
          <w:tblHeader/>
        </w:trPr>
        <w:tc>
          <w:tcPr>
            <w:tcW w:type="dxa" w:w="4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t>
            </w:r>
          </w:p>
        </w:tc>
        <w:tc>
          <w:tcPr>
            <w:tcW w:type="dxa" w:w="22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Feature</w:t>
            </w:r>
          </w:p>
        </w:tc>
        <w:tc>
          <w:tcPr>
            <w:tcW w:type="dxa" w:w="376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Core Value Delivered</w:t>
            </w:r>
          </w:p>
        </w:tc>
        <w:tc>
          <w:tcPr>
            <w:tcW w:type="dxa" w:w="17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Primary User</w:t>
            </w:r>
          </w:p>
        </w:tc>
        <w:tc>
          <w:tcPr>
            <w:tcW w:type="dxa" w:w="1300"/>
            <w:tcBorders>
              <w:top w:val="single" w:color="1B3A6B" w:sz="6"/>
              <w:left w:val="single" w:color="1B3A6B" w:sz="6"/>
              <w:bottom w:val="single" w:color="1B3A6B" w:sz="6"/>
              <w:right w:val="single" w:color="1B3A6B" w:sz="6"/>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Key 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Teacher Onboarding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Structured, verified, stage-by-stage digital induction ensuring every faculty member is credentialed and ready before deployment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Faculty + Admin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Onboarding completion record</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Teacher Profile Management</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Comprehensive, living digital identity capturing qualifications, expertise, research, and professional history</w:t>
            </w:r>
          </w:p>
        </w:tc>
        <w:tc>
          <w:tcPr>
            <w:tcW w:type="dxa" w:w="1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Faculty + Admin + HOD</w:t>
            </w:r>
          </w:p>
        </w:tc>
        <w:tc>
          <w:tcPr>
            <w:tcW w:type="dxa" w:w="13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Complete faculty profile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Subject Allocation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Intelligence-driven, equitable, qualification-matched assignment of subjects to faculty each semester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HOD + Admin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Allocation plan + audit trail</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Class Assignment</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Conflict-free, optimised timetable generation linking teachers to sections, timeslots, and rooms</w:t>
            </w:r>
          </w:p>
        </w:tc>
        <w:tc>
          <w:tcPr>
            <w:tcW w:type="dxa" w:w="1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HOD + Admin + Faculty</w:t>
            </w:r>
          </w:p>
        </w:tc>
        <w:tc>
          <w:tcPr>
            <w:tcW w:type="dxa" w:w="13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Published timetable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Mentor Allocation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Structured matching of faculty to students for academic, project, and career mentoring with load balancing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HOD + Admin + Students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Mentor assignment + activity log</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Certification Validation</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Automated + manual verification of all faculty credentials against issuing body records</w:t>
            </w:r>
          </w:p>
        </w:tc>
        <w:tc>
          <w:tcPr>
            <w:tcW w:type="dxa" w:w="1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Admin + HR + Compliance</w:t>
            </w:r>
          </w:p>
        </w:tc>
        <w:tc>
          <w:tcPr>
            <w:tcW w:type="dxa" w:w="13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Verified credential vault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Attendance Tracking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Multi-modal, real-time faculty presence and session delivery recording integrated with leave management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Admin + HOD + HR + Payroll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Attendance register + reports</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Workload Management</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Transparent quantification and equitable distribution of teaching, assessment, admin, and research loads</w:t>
            </w:r>
          </w:p>
        </w:tc>
        <w:tc>
          <w:tcPr>
            <w:tcW w:type="dxa" w:w="1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Faculty + HOD + Admin</w:t>
            </w:r>
          </w:p>
        </w:tc>
        <w:tc>
          <w:tcPr>
            <w:tcW w:type="dxa" w:w="13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Workload dashboard + reports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Faculty Evaluation Reports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Multi-source, objective, developmentally oriented semester and annual performance assessments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HOD + Admin + HR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Evaluation report + trend analysis</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Professional Development Tracking</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End-to-end logging, verification, and analytics of all faculty PD activities for compliance and growth</w:t>
            </w:r>
          </w:p>
        </w:tc>
        <w:tc>
          <w:tcPr>
            <w:tcW w:type="dxa" w:w="1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Faculty + HOD + Admin</w:t>
            </w:r>
          </w:p>
        </w:tc>
        <w:tc>
          <w:tcPr>
            <w:tcW w:type="dxa" w:w="13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PD portfolio + compliance report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Teacher Training Programs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Institution-managed, structured delivery of pedagogical, domain, and compliance training programmes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Faculty + Admin + HOD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completion + certificates</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2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Analytics Dashboard</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Role-specific, real-time intelligence hub aggregating all faculty data into actionable workforce insights</w:t>
            </w:r>
          </w:p>
        </w:tc>
        <w:tc>
          <w:tcPr>
            <w:tcW w:type="dxa" w:w="17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Faculty + HOD + Admin</w:t>
            </w:r>
          </w:p>
        </w:tc>
        <w:tc>
          <w:tcPr>
            <w:tcW w:type="dxa" w:w="13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20"/>
                <w:szCs w:val="20"/>
              </w:rPr>
              <w:t xml:space="preserve">Multi-role analytics dashboards</w:t>
            </w:r>
          </w:p>
        </w:tc>
      </w:tr>
    </w:tbl>
    <w:p>
      <w:pPr>
        <w:spacing w:before="40" w:after="40"/>
      </w:pPr>
      <w:r>
        <w:t xml:space="preserve"/>
      </w:r>
    </w:p>
    <w:p>
      <w:pPr>
        <w:spacing w:before="40" w:after="40"/>
      </w:pPr>
      <w:r>
        <w:t xml:space="preserve"/>
      </w:r>
    </w:p>
    <w:p>
      <w:pPr>
        <w:pBdr>
          <w:top w:val="single" w:color="1B3A6B" w:sz="4" w:space="6"/>
        </w:pBdr>
        <w:spacing w:before="200" w:after="80"/>
        <w:jc w:val="center"/>
      </w:pPr>
      <w:r>
        <w:rPr>
          <w:rFonts w:ascii="Arial" w:cs="Arial" w:eastAsia="Arial" w:hAnsi="Arial"/>
          <w:i/>
          <w:iCs/>
          <w:color w:val="AAAAAA"/>
          <w:sz w:val="20"/>
          <w:szCs w:val="20"/>
        </w:rPr>
        <w:t xml:space="preserve">End of Document — D. Teacher / Faculty Management Feature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8"/>
        <w:szCs w:val="18"/>
      </w:rPr>
      <w:t xml:space="preserve">EcoSkiller Platform  |  Confidential  |  D. Teacher / Faculty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jc w:val="right"/>
    </w:pPr>
    <w:r>
      <w:rPr>
        <w:rFonts w:ascii="Arial" w:cs="Arial" w:eastAsia="Arial" w:hAnsi="Arial"/>
        <w:color w:val="1B3A6B"/>
        <w:sz w:val="18"/>
        <w:szCs w:val="18"/>
      </w:rPr>
      <w:t xml:space="preserve">D. Teacher / Faculty Management —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2026-03-09T10:54:05.604Z</dcterms:created>
  <dcterms:modified xsi:type="dcterms:W3CDTF">2026-03-09T10:54:05.605Z</dcterms:modified>
</cp:coreProperties>
</file>

<file path=docProps/custom.xml><?xml version="1.0" encoding="utf-8"?>
<Properties xmlns="http://schemas.openxmlformats.org/officeDocument/2006/custom-properties" xmlns:vt="http://schemas.openxmlformats.org/officeDocument/2006/docPropsVTypes"/>
</file>