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240"/>
        <w:jc w:val="center"/>
      </w:pPr>
      <w:r>
        <w:rPr>
          <w:rFonts w:ascii="Arial" w:cs="Arial" w:eastAsia="Arial" w:hAnsi="Arial"/>
          <w:b/>
          <w:bCs/>
          <w:color w:val="0B4F8A"/>
          <w:sz w:val="76"/>
          <w:szCs w:val="76"/>
        </w:rPr>
        <w:t xml:space="preserve">O. STUDENT ANALYTICS</w:t>
      </w:r>
    </w:p>
    <w:p>
      <w:pPr>
        <w:spacing w:before="0" w:after="200"/>
        <w:jc w:val="center"/>
      </w:pPr>
      <w:r>
        <w:rPr>
          <w:rFonts w:ascii="Arial" w:cs="Arial" w:eastAsia="Arial" w:hAnsi="Arial"/>
          <w:color w:val="555555"/>
          <w:sz w:val="38"/>
          <w:szCs w:val="38"/>
        </w:rPr>
        <w:t xml:space="preserve">Feature Specification Document</w:t>
      </w:r>
    </w:p>
    <w:p>
      <w:pPr>
        <w:spacing w:before="0" w:after="120"/>
        <w:jc w:val="center"/>
      </w:pPr>
      <w:r>
        <w:rPr>
          <w:rFonts w:ascii="Arial" w:cs="Arial" w:eastAsia="Arial" w:hAnsi="Arial"/>
          <w:i/>
          <w:iCs/>
          <w:color w:val="888888"/>
          <w:sz w:val="26"/>
          <w:szCs w:val="26"/>
        </w:rPr>
        <w:t xml:space="preserve">In-Depth Description of All Four Core Features</w:t>
      </w:r>
    </w:p>
    <w:p>
      <w:pPr>
        <w:pBdr>
          <w:top w:val="single" w:color="0B4F8A" w:sz="8" w:space="4"/>
        </w:pBdr>
        <w:spacing w:before="800" w:after="0"/>
        <w:jc w:val="center"/>
      </w:pPr>
      <w:r>
        <w:rPr>
          <w:rFonts w:ascii="Arial" w:cs="Arial" w:eastAsia="Arial" w:hAnsi="Arial"/>
          <w:color w:val="AAAAAA"/>
          <w:sz w:val="22"/>
          <w:szCs w:val="22"/>
        </w:rPr>
        <w:t xml:space="preserve">EcoSkiller Platform  |  Version 1.0</w:t>
      </w:r>
    </w:p>
    <w:p>
      <w:r>
        <w:br w:type="page"/>
      </w:r>
    </w:p>
    <w:p>
      <w:pPr>
        <w:pStyle w:val="Heading1"/>
        <w:pBdr>
          <w:bottom w:val="single" w:color="0B4F8A" w:sz="10" w:space="5"/>
        </w:pBdr>
        <w:spacing w:before="440" w:after="180"/>
      </w:pPr>
      <w:r>
        <w:rPr>
          <w:rFonts w:ascii="Arial" w:cs="Arial" w:eastAsia="Arial" w:hAnsi="Arial"/>
          <w:b/>
          <w:bCs/>
          <w:color w:val="0B4F8A"/>
          <w:sz w:val="36"/>
          <w:szCs w:val="36"/>
        </w:rPr>
        <w:t xml:space="preserve">Feature 1: Skill Growth Reports</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1.1 Overview</w:t>
      </w:r>
    </w:p>
    <w:p>
      <w:pPr>
        <w:spacing w:before="80" w:after="80"/>
      </w:pPr>
      <w:r>
        <w:rPr>
          <w:rFonts w:ascii="Arial" w:cs="Arial" w:eastAsia="Arial" w:hAnsi="Arial"/>
          <w:color w:val="222222"/>
          <w:sz w:val="22"/>
          <w:szCs w:val="22"/>
        </w:rPr>
        <w:t xml:space="preserve">Skill Growth Reports are structured, data-driven documents and dashboards that capture, visualise, and communicate the evolution of a student's skill profile over time. Unlike a static resume that only reflects a snapshot, EcoSkiller's Skill Growth Reports are living records — updated continuously as the student completes assessments, projects, courses, and mentor-evaluated work. They serve as the definitive evidence of learning progress for students, institutes, recruiters, and SMEs, answering the core question: How has this student grown, and in which directions?</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1.2 Purpose &amp; Goals</w:t>
      </w:r>
    </w:p>
    <w:p>
      <w:pPr>
        <w:pStyle w:val="ListParagraph"/>
        <w:numPr>
          <w:ilvl w:val="0"/>
          <w:numId w:val="2"/>
        </w:numPr>
        <w:spacing w:before="60" w:after="60"/>
      </w:pPr>
      <w:r>
        <w:rPr>
          <w:rFonts w:ascii="Arial" w:cs="Arial" w:eastAsia="Arial" w:hAnsi="Arial"/>
          <w:b w:val="false"/>
          <w:bCs w:val="false"/>
          <w:color w:val="222222"/>
          <w:sz w:val="22"/>
          <w:szCs w:val="22"/>
        </w:rPr>
        <w:t xml:space="preserve">Provide students with an objective, timestamped record of every skill they have acquired or improved on the platform.</w:t>
      </w:r>
    </w:p>
    <w:p>
      <w:pPr>
        <w:pStyle w:val="ListParagraph"/>
        <w:numPr>
          <w:ilvl w:val="0"/>
          <w:numId w:val="2"/>
        </w:numPr>
        <w:spacing w:before="60" w:after="60"/>
      </w:pPr>
      <w:r>
        <w:rPr>
          <w:rFonts w:ascii="Arial" w:cs="Arial" w:eastAsia="Arial" w:hAnsi="Arial"/>
          <w:b w:val="false"/>
          <w:bCs w:val="false"/>
          <w:color w:val="222222"/>
          <w:sz w:val="22"/>
          <w:szCs w:val="22"/>
        </w:rPr>
        <w:t xml:space="preserve">Enable institutes to monitor cohort-level skill trajectories and identify students who are falling behind or excelling.</w:t>
      </w:r>
    </w:p>
    <w:p>
      <w:pPr>
        <w:pStyle w:val="ListParagraph"/>
        <w:numPr>
          <w:ilvl w:val="0"/>
          <w:numId w:val="2"/>
        </w:numPr>
        <w:spacing w:before="60" w:after="60"/>
      </w:pPr>
      <w:r>
        <w:rPr>
          <w:rFonts w:ascii="Arial" w:cs="Arial" w:eastAsia="Arial" w:hAnsi="Arial"/>
          <w:b w:val="false"/>
          <w:bCs w:val="false"/>
          <w:color w:val="222222"/>
          <w:sz w:val="22"/>
          <w:szCs w:val="22"/>
        </w:rPr>
        <w:t xml:space="preserve">Give recruiters a verified, longitudinal view of a candidate's skill development — far more credible than self-declared resume claims.</w:t>
      </w:r>
    </w:p>
    <w:p>
      <w:pPr>
        <w:pStyle w:val="ListParagraph"/>
        <w:numPr>
          <w:ilvl w:val="0"/>
          <w:numId w:val="2"/>
        </w:numPr>
        <w:spacing w:before="60" w:after="60"/>
      </w:pPr>
      <w:r>
        <w:rPr>
          <w:rFonts w:ascii="Arial" w:cs="Arial" w:eastAsia="Arial" w:hAnsi="Arial"/>
          <w:b w:val="false"/>
          <w:bCs w:val="false"/>
          <w:color w:val="222222"/>
          <w:sz w:val="22"/>
          <w:szCs w:val="22"/>
        </w:rPr>
        <w:t xml:space="preserve">Motivate students through visible progress indicators that reward effort, not just outcomes.</w:t>
      </w:r>
    </w:p>
    <w:p>
      <w:pPr>
        <w:pStyle w:val="ListParagraph"/>
        <w:numPr>
          <w:ilvl w:val="0"/>
          <w:numId w:val="2"/>
        </w:numPr>
        <w:spacing w:before="60" w:after="60"/>
      </w:pPr>
      <w:r>
        <w:rPr>
          <w:rFonts w:ascii="Arial" w:cs="Arial" w:eastAsia="Arial" w:hAnsi="Arial"/>
          <w:b w:val="false"/>
          <w:bCs w:val="false"/>
          <w:color w:val="222222"/>
          <w:sz w:val="22"/>
          <w:szCs w:val="22"/>
        </w:rPr>
        <w:t xml:space="preserve">Identify skill gaps relative to career goals so learning resources can be intelligently recommended.</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1.3 Skill Taxonomy &amp; Proficiency Framework</w:t>
      </w:r>
    </w:p>
    <w:p>
      <w:pPr>
        <w:spacing w:before="200" w:after="80"/>
      </w:pPr>
      <w:r>
        <w:rPr>
          <w:rFonts w:ascii="Arial" w:cs="Arial" w:eastAsia="Arial" w:hAnsi="Arial"/>
          <w:b/>
          <w:bCs/>
          <w:color w:val="0E7C60"/>
          <w:sz w:val="23"/>
          <w:szCs w:val="23"/>
        </w:rPr>
        <w:t xml:space="preserve">1.3.1 Skill Classification Structure</w:t>
      </w:r>
    </w:p>
    <w:p>
      <w:pPr>
        <w:spacing w:before="80" w:after="80"/>
      </w:pPr>
      <w:r>
        <w:rPr>
          <w:rFonts w:ascii="Arial" w:cs="Arial" w:eastAsia="Arial" w:hAnsi="Arial"/>
          <w:color w:val="222222"/>
          <w:sz w:val="22"/>
          <w:szCs w:val="22"/>
        </w:rPr>
        <w:t xml:space="preserve">Every skill on EcoSkiller is categorised within a three-level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Level</w:t>
            </w:r>
          </w:p>
        </w:tc>
        <w:tc>
          <w:tcPr>
            <w:tcW w:type="dxa" w:w="34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Category Examples</w:t>
            </w:r>
          </w:p>
        </w:tc>
        <w:tc>
          <w:tcPr>
            <w:tcW w:type="dxa" w:w="396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How Skills Are Assigned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Domain Skills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Python, SQL, React, Java, Data Analysis, CAD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Via assessments, project completions, endorsed by mentors</w:t>
            </w:r>
          </w:p>
        </w:tc>
      </w:tr>
      <w:tr>
        <w:tc>
          <w:tcPr>
            <w:tcW w:type="dxa" w:w="20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Soft Skills</w:t>
            </w:r>
          </w:p>
        </w:tc>
        <w:tc>
          <w:tcPr>
            <w:tcW w:type="dxa" w:w="34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Communication, Problem-Solving, Teamwork, Leadership</w:t>
            </w:r>
          </w:p>
        </w:tc>
        <w:tc>
          <w:tcPr>
            <w:tcW w:type="dxa" w:w="39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Via mentor ratings, peer reviews, GD scores, session attendance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Industry Knowledge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FinTech, Healthcare IT, Supply Chain, Digital Marketing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Via project domain classification and course module completions</w:t>
            </w:r>
          </w:p>
        </w:tc>
      </w:tr>
    </w:tbl>
    <w:p>
      <w:pPr>
        <w:spacing w:before="40" w:after="40"/>
      </w:pPr>
      <w:r>
        <w:t xml:space="preserve"/>
      </w:r>
    </w:p>
    <w:p>
      <w:pPr>
        <w:spacing w:before="200" w:after="80"/>
      </w:pPr>
      <w:r>
        <w:rPr>
          <w:rFonts w:ascii="Arial" w:cs="Arial" w:eastAsia="Arial" w:hAnsi="Arial"/>
          <w:b/>
          <w:bCs/>
          <w:color w:val="0E7C60"/>
          <w:sz w:val="23"/>
          <w:szCs w:val="23"/>
        </w:rPr>
        <w:t xml:space="preserve">1.3.2 Proficiency Level Scale</w:t>
      </w:r>
    </w:p>
    <w:p>
      <w:pPr>
        <w:spacing w:before="80" w:after="80"/>
      </w:pPr>
      <w:r>
        <w:rPr>
          <w:rFonts w:ascii="Arial" w:cs="Arial" w:eastAsia="Arial" w:hAnsi="Arial"/>
          <w:color w:val="222222"/>
          <w:sz w:val="22"/>
          <w:szCs w:val="22"/>
        </w:rPr>
        <w:t xml:space="preserve">Each skill is assigned a proficiency level on a five-point scale, updated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960"/>
        <w:gridCol w:w="2400"/>
      </w:tblGrid>
      <w:tr>
        <w:trPr>
          <w:tblHeader/>
        </w:trPr>
        <w:tc>
          <w:tcPr>
            <w:tcW w:type="dxa" w:w="18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Level</w:t>
            </w:r>
          </w:p>
        </w:tc>
        <w:tc>
          <w:tcPr>
            <w:tcW w:type="dxa" w:w="22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Label</w:t>
            </w:r>
          </w:p>
        </w:tc>
        <w:tc>
          <w:tcPr>
            <w:tcW w:type="dxa" w:w="296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How It Is Earned</w:t>
            </w:r>
          </w:p>
        </w:tc>
        <w:tc>
          <w:tcPr>
            <w:tcW w:type="dxa" w:w="24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Visual Indicator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Awareness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Completed introductory module or course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Grey badge</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Beginner</w:t>
            </w:r>
          </w:p>
        </w:tc>
        <w:tc>
          <w:tcPr>
            <w:tcW w:type="dxa" w:w="29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Passed foundational assessment (50–64%)</w:t>
            </w:r>
          </w:p>
        </w:tc>
        <w:tc>
          <w:tcPr>
            <w:tcW w:type="dxa" w:w="24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Bronze 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Intermediate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Completed a project using the skill; score 65–79%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Silver badge</w:t>
            </w:r>
          </w:p>
        </w:tc>
      </w:tr>
      <w:tr>
        <w:tc>
          <w:tcPr>
            <w:tcW w:type="dxa" w:w="1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Advanced</w:t>
            </w:r>
          </w:p>
        </w:tc>
        <w:tc>
          <w:tcPr>
            <w:tcW w:type="dxa" w:w="29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Multiple projects with mentor validation; score 80–89%</w:t>
            </w:r>
          </w:p>
        </w:tc>
        <w:tc>
          <w:tcPr>
            <w:tcW w:type="dxa" w:w="24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Gold 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Expert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Top-tier assessment performance + peer recognition; 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Platinum badge</w:t>
            </w:r>
          </w:p>
        </w:tc>
      </w:tr>
    </w:tbl>
    <w:p>
      <w:pPr>
        <w:spacing w:before="40" w:after="40"/>
      </w:pPr>
      <w:r>
        <w:t xml:space="preserve"/>
      </w:r>
    </w:p>
    <w:p>
      <w:pPr>
        <w:pStyle w:val="Heading2"/>
        <w:spacing w:before="280" w:after="120"/>
      </w:pPr>
      <w:r>
        <w:rPr>
          <w:rFonts w:ascii="Arial" w:cs="Arial" w:eastAsia="Arial" w:hAnsi="Arial"/>
          <w:b/>
          <w:bCs/>
          <w:color w:val="1A73B8"/>
          <w:sz w:val="27"/>
          <w:szCs w:val="27"/>
        </w:rPr>
        <w:t xml:space="preserve">1.4 Report Components</w:t>
      </w:r>
    </w:p>
    <w:p>
      <w:pPr>
        <w:spacing w:before="200" w:after="80"/>
      </w:pPr>
      <w:r>
        <w:rPr>
          <w:rFonts w:ascii="Arial" w:cs="Arial" w:eastAsia="Arial" w:hAnsi="Arial"/>
          <w:b/>
          <w:bCs/>
          <w:color w:val="0E7C60"/>
          <w:sz w:val="23"/>
          <w:szCs w:val="23"/>
        </w:rPr>
        <w:t xml:space="preserve">1.4.1 Skill Acquisition Timeline</w:t>
      </w:r>
    </w:p>
    <w:p>
      <w:pPr>
        <w:spacing w:before="80" w:after="80"/>
      </w:pPr>
      <w:r>
        <w:rPr>
          <w:rFonts w:ascii="Arial" w:cs="Arial" w:eastAsia="Arial" w:hAnsi="Arial"/>
          <w:color w:val="222222"/>
          <w:sz w:val="22"/>
          <w:szCs w:val="22"/>
        </w:rPr>
        <w:t xml:space="preserve">A chronological visual timeline showing when each skill was first acquired and when it progressed to a new level:</w:t>
      </w:r>
    </w:p>
    <w:p>
      <w:pPr>
        <w:pStyle w:val="ListParagraph"/>
        <w:numPr>
          <w:ilvl w:val="0"/>
          <w:numId w:val="2"/>
        </w:numPr>
        <w:spacing w:before="60" w:after="60"/>
      </w:pPr>
      <w:r>
        <w:rPr>
          <w:rFonts w:ascii="Arial" w:cs="Arial" w:eastAsia="Arial" w:hAnsi="Arial"/>
          <w:b w:val="false"/>
          <w:bCs w:val="false"/>
          <w:color w:val="222222"/>
          <w:sz w:val="22"/>
          <w:szCs w:val="22"/>
        </w:rPr>
        <w:t xml:space="preserve">Horizontal timeline with date markers for every skill event: first assessed, first project applied, level upgraded, expert-endorsed.</w:t>
      </w:r>
    </w:p>
    <w:p>
      <w:pPr>
        <w:pStyle w:val="ListParagraph"/>
        <w:numPr>
          <w:ilvl w:val="0"/>
          <w:numId w:val="2"/>
        </w:numPr>
        <w:spacing w:before="60" w:after="60"/>
      </w:pPr>
      <w:r>
        <w:rPr>
          <w:rFonts w:ascii="Arial" w:cs="Arial" w:eastAsia="Arial" w:hAnsi="Arial"/>
          <w:b w:val="false"/>
          <w:bCs w:val="false"/>
          <w:color w:val="222222"/>
          <w:sz w:val="22"/>
          <w:szCs w:val="22"/>
        </w:rPr>
        <w:t xml:space="preserve">Skills grouped by category (Technical, Soft, Industry) on separate swim lanes for easy comparison.</w:t>
      </w:r>
    </w:p>
    <w:p>
      <w:pPr>
        <w:pStyle w:val="ListParagraph"/>
        <w:numPr>
          <w:ilvl w:val="0"/>
          <w:numId w:val="2"/>
        </w:numPr>
        <w:spacing w:before="60" w:after="60"/>
      </w:pPr>
      <w:r>
        <w:rPr>
          <w:rFonts w:ascii="Arial" w:cs="Arial" w:eastAsia="Arial" w:hAnsi="Arial"/>
          <w:b w:val="false"/>
          <w:bCs w:val="false"/>
          <w:color w:val="222222"/>
          <w:sz w:val="22"/>
          <w:szCs w:val="22"/>
        </w:rPr>
        <w:t xml:space="preserve">Hovering or clicking any event on the timeline reveals the source activity (e.g., "Intermediate Python — from Project: E-Commerce Recommender System, March 2025").</w:t>
      </w:r>
    </w:p>
    <w:p>
      <w:pPr>
        <w:pStyle w:val="ListParagraph"/>
        <w:numPr>
          <w:ilvl w:val="0"/>
          <w:numId w:val="2"/>
        </w:numPr>
        <w:spacing w:before="60" w:after="60"/>
      </w:pPr>
      <w:r>
        <w:rPr>
          <w:rFonts w:ascii="Arial" w:cs="Arial" w:eastAsia="Arial" w:hAnsi="Arial"/>
          <w:b w:val="false"/>
          <w:bCs w:val="false"/>
          <w:color w:val="222222"/>
          <w:sz w:val="22"/>
          <w:szCs w:val="22"/>
        </w:rPr>
        <w:t xml:space="preserve">Growth velocity indicator: Shows whether the student is acquiring skills faster, slower, or at the same rate compared to the previous quarter.</w:t>
      </w:r>
    </w:p>
    <w:p>
      <w:pPr>
        <w:spacing w:before="40" w:after="40"/>
      </w:pPr>
      <w:r>
        <w:t xml:space="preserve"/>
      </w:r>
    </w:p>
    <w:p>
      <w:pPr>
        <w:spacing w:before="200" w:after="80"/>
      </w:pPr>
      <w:r>
        <w:rPr>
          <w:rFonts w:ascii="Arial" w:cs="Arial" w:eastAsia="Arial" w:hAnsi="Arial"/>
          <w:b/>
          <w:bCs/>
          <w:color w:val="0E7C60"/>
          <w:sz w:val="23"/>
          <w:szCs w:val="23"/>
        </w:rPr>
        <w:t xml:space="preserve">1.4.2 Skill Radar Chart</w:t>
      </w:r>
    </w:p>
    <w:p>
      <w:pPr>
        <w:spacing w:before="80" w:after="80"/>
      </w:pPr>
      <w:r>
        <w:rPr>
          <w:rFonts w:ascii="Arial" w:cs="Arial" w:eastAsia="Arial" w:hAnsi="Arial"/>
          <w:color w:val="222222"/>
          <w:sz w:val="22"/>
          <w:szCs w:val="22"/>
        </w:rPr>
        <w:t xml:space="preserve">A multi-axis radar (spider) chart visualising the student's skill profile across all major competency domains simultaneously:</w:t>
      </w:r>
    </w:p>
    <w:p>
      <w:pPr>
        <w:pStyle w:val="ListParagraph"/>
        <w:numPr>
          <w:ilvl w:val="0"/>
          <w:numId w:val="2"/>
        </w:numPr>
        <w:spacing w:before="60" w:after="60"/>
      </w:pPr>
      <w:r>
        <w:rPr>
          <w:rFonts w:ascii="Arial" w:cs="Arial" w:eastAsia="Arial" w:hAnsi="Arial"/>
          <w:b w:val="false"/>
          <w:bCs w:val="false"/>
          <w:color w:val="222222"/>
          <w:sz w:val="22"/>
          <w:szCs w:val="22"/>
        </w:rPr>
        <w:t xml:space="preserve">Each axis represents a skill domain (e.g., Frontend, Backend, Data, Cloud, Communication, Problem-Solving).</w:t>
      </w:r>
    </w:p>
    <w:p>
      <w:pPr>
        <w:pStyle w:val="ListParagraph"/>
        <w:numPr>
          <w:ilvl w:val="0"/>
          <w:numId w:val="2"/>
        </w:numPr>
        <w:spacing w:before="60" w:after="60"/>
      </w:pPr>
      <w:r>
        <w:rPr>
          <w:rFonts w:ascii="Arial" w:cs="Arial" w:eastAsia="Arial" w:hAnsi="Arial"/>
          <w:b w:val="false"/>
          <w:bCs w:val="false"/>
          <w:color w:val="222222"/>
          <w:sz w:val="22"/>
          <w:szCs w:val="22"/>
        </w:rPr>
        <w:t xml:space="preserve">The filled area shows current proficiency; a second overlay shows the profile from 3, 6, or 12 months ago — making growth immediately visible.</w:t>
      </w:r>
    </w:p>
    <w:p>
      <w:pPr>
        <w:pStyle w:val="ListParagraph"/>
        <w:numPr>
          <w:ilvl w:val="0"/>
          <w:numId w:val="2"/>
        </w:numPr>
        <w:spacing w:before="60" w:after="60"/>
      </w:pPr>
      <w:r>
        <w:rPr>
          <w:rFonts w:ascii="Arial" w:cs="Arial" w:eastAsia="Arial" w:hAnsi="Arial"/>
          <w:b w:val="false"/>
          <w:bCs w:val="false"/>
          <w:color w:val="222222"/>
          <w:sz w:val="22"/>
          <w:szCs w:val="22"/>
        </w:rPr>
        <w:t xml:space="preserve">A third overlay shows the benchmark profile of students who successfully got placed in the student's target role — creating a clear "gap to close" visualisation.</w:t>
      </w:r>
    </w:p>
    <w:p>
      <w:pPr>
        <w:pStyle w:val="ListParagraph"/>
        <w:numPr>
          <w:ilvl w:val="0"/>
          <w:numId w:val="2"/>
        </w:numPr>
        <w:spacing w:before="60" w:after="60"/>
      </w:pPr>
      <w:r>
        <w:rPr>
          <w:rFonts w:ascii="Arial" w:cs="Arial" w:eastAsia="Arial" w:hAnsi="Arial"/>
          <w:b w:val="false"/>
          <w:bCs w:val="false"/>
          <w:color w:val="222222"/>
          <w:sz w:val="22"/>
          <w:szCs w:val="22"/>
        </w:rPr>
        <w:t xml:space="preserve">Exportable as a PNG image for inclusion in resumes or LinkedIn profiles.</w:t>
      </w:r>
    </w:p>
    <w:p>
      <w:pPr>
        <w:spacing w:before="40" w:after="40"/>
      </w:pPr>
      <w:r>
        <w:t xml:space="preserve"/>
      </w:r>
    </w:p>
    <w:p>
      <w:pPr>
        <w:spacing w:before="200" w:after="80"/>
      </w:pPr>
      <w:r>
        <w:rPr>
          <w:rFonts w:ascii="Arial" w:cs="Arial" w:eastAsia="Arial" w:hAnsi="Arial"/>
          <w:b/>
          <w:bCs/>
          <w:color w:val="0E7C60"/>
          <w:sz w:val="23"/>
          <w:szCs w:val="23"/>
        </w:rPr>
        <w:t xml:space="preserve">1.4.3 Top Skills Summary</w:t>
      </w:r>
    </w:p>
    <w:p>
      <w:pPr>
        <w:spacing w:before="80" w:after="80"/>
      </w:pPr>
      <w:r>
        <w:rPr>
          <w:rFonts w:ascii="Arial" w:cs="Arial" w:eastAsia="Arial" w:hAnsi="Arial"/>
          <w:color w:val="222222"/>
          <w:sz w:val="22"/>
          <w:szCs w:val="22"/>
        </w:rPr>
        <w:t xml:space="preserve">A ranked list of the student's top 10 skills by proficiency level and evidence strength:</w:t>
      </w:r>
    </w:p>
    <w:p>
      <w:pPr>
        <w:pStyle w:val="ListParagraph"/>
        <w:numPr>
          <w:ilvl w:val="0"/>
          <w:numId w:val="2"/>
        </w:numPr>
        <w:spacing w:before="60" w:after="60"/>
      </w:pPr>
      <w:r>
        <w:rPr>
          <w:rFonts w:ascii="Arial" w:cs="Arial" w:eastAsia="Arial" w:hAnsi="Arial"/>
          <w:b w:val="false"/>
          <w:bCs w:val="false"/>
          <w:color w:val="222222"/>
          <w:sz w:val="22"/>
          <w:szCs w:val="22"/>
        </w:rPr>
        <w:t xml:space="preserve">Skill name, current proficiency badge, number of projects it was applied in, and date of last activity.</w:t>
      </w:r>
    </w:p>
    <w:p>
      <w:pPr>
        <w:pStyle w:val="ListParagraph"/>
        <w:numPr>
          <w:ilvl w:val="0"/>
          <w:numId w:val="2"/>
        </w:numPr>
        <w:spacing w:before="60" w:after="60"/>
      </w:pPr>
      <w:r>
        <w:rPr>
          <w:rFonts w:ascii="Arial" w:cs="Arial" w:eastAsia="Arial" w:hAnsi="Arial"/>
          <w:b w:val="false"/>
          <w:bCs w:val="false"/>
          <w:color w:val="222222"/>
          <w:sz w:val="22"/>
          <w:szCs w:val="22"/>
        </w:rPr>
        <w:t xml:space="preserve">Evidence strength indicator: Based on how many independent sources (assessments + projects + mentor endorsements) confirm the skill.</w:t>
      </w:r>
    </w:p>
    <w:p>
      <w:pPr>
        <w:pStyle w:val="ListParagraph"/>
        <w:numPr>
          <w:ilvl w:val="0"/>
          <w:numId w:val="2"/>
        </w:numPr>
        <w:spacing w:before="60" w:after="60"/>
      </w:pPr>
      <w:r>
        <w:rPr>
          <w:rFonts w:ascii="Arial" w:cs="Arial" w:eastAsia="Arial" w:hAnsi="Arial"/>
          <w:b w:val="false"/>
          <w:bCs w:val="false"/>
          <w:color w:val="222222"/>
          <w:sz w:val="22"/>
          <w:szCs w:val="22"/>
        </w:rPr>
        <w:t xml:space="preserve">"Verified" tag shown next to skills confirmed through platform-administered assessments, distinguishing them from self-declared skills.</w:t>
      </w:r>
    </w:p>
    <w:p>
      <w:pPr>
        <w:spacing w:before="40" w:after="40"/>
      </w:pPr>
      <w:r>
        <w:t xml:space="preserve"/>
      </w:r>
    </w:p>
    <w:p>
      <w:pPr>
        <w:spacing w:before="200" w:after="80"/>
      </w:pPr>
      <w:r>
        <w:rPr>
          <w:rFonts w:ascii="Arial" w:cs="Arial" w:eastAsia="Arial" w:hAnsi="Arial"/>
          <w:b/>
          <w:bCs/>
          <w:color w:val="0E7C60"/>
          <w:sz w:val="23"/>
          <w:szCs w:val="23"/>
        </w:rPr>
        <w:t xml:space="preserve">1.4.4 Skill Gap Analysis Panel</w:t>
      </w:r>
    </w:p>
    <w:p>
      <w:pPr>
        <w:spacing w:before="80" w:after="80"/>
      </w:pPr>
      <w:r>
        <w:rPr>
          <w:rFonts w:ascii="Arial" w:cs="Arial" w:eastAsia="Arial" w:hAnsi="Arial"/>
          <w:color w:val="222222"/>
          <w:sz w:val="22"/>
          <w:szCs w:val="22"/>
        </w:rPr>
        <w:t xml:space="preserve">A side-by-side comparison between the student's current skills and the requirements of their selected target role or career path:</w:t>
      </w:r>
    </w:p>
    <w:p>
      <w:pPr>
        <w:pStyle w:val="ListParagraph"/>
        <w:numPr>
          <w:ilvl w:val="0"/>
          <w:numId w:val="2"/>
        </w:numPr>
        <w:spacing w:before="60" w:after="60"/>
      </w:pPr>
      <w:r>
        <w:rPr>
          <w:rFonts w:ascii="Arial" w:cs="Arial" w:eastAsia="Arial" w:hAnsi="Arial"/>
          <w:b w:val="false"/>
          <w:bCs w:val="false"/>
          <w:color w:val="222222"/>
          <w:sz w:val="22"/>
          <w:szCs w:val="22"/>
        </w:rPr>
        <w:t xml:space="preserve">Green checkmarks for skills already at or above the required level.</w:t>
      </w:r>
    </w:p>
    <w:p>
      <w:pPr>
        <w:pStyle w:val="ListParagraph"/>
        <w:numPr>
          <w:ilvl w:val="0"/>
          <w:numId w:val="2"/>
        </w:numPr>
        <w:spacing w:before="60" w:after="60"/>
      </w:pPr>
      <w:r>
        <w:rPr>
          <w:rFonts w:ascii="Arial" w:cs="Arial" w:eastAsia="Arial" w:hAnsi="Arial"/>
          <w:b w:val="false"/>
          <w:bCs w:val="false"/>
          <w:color w:val="222222"/>
          <w:sz w:val="22"/>
          <w:szCs w:val="22"/>
        </w:rPr>
        <w:t xml:space="preserve">Amber indicators for skills present but below the required proficiency level with the gap quantified (e.g., "Python: Intermediate — needs Advanced").</w:t>
      </w:r>
    </w:p>
    <w:p>
      <w:pPr>
        <w:pStyle w:val="ListParagraph"/>
        <w:numPr>
          <w:ilvl w:val="0"/>
          <w:numId w:val="2"/>
        </w:numPr>
        <w:spacing w:before="60" w:after="60"/>
      </w:pPr>
      <w:r>
        <w:rPr>
          <w:rFonts w:ascii="Arial" w:cs="Arial" w:eastAsia="Arial" w:hAnsi="Arial"/>
          <w:b w:val="false"/>
          <w:bCs w:val="false"/>
          <w:color w:val="222222"/>
          <w:sz w:val="22"/>
          <w:szCs w:val="22"/>
        </w:rPr>
        <w:t xml:space="preserve">Red indicators for skills entirely missing with direct links to recommended courses or projects.</w:t>
      </w:r>
    </w:p>
    <w:p>
      <w:pPr>
        <w:pStyle w:val="ListParagraph"/>
        <w:numPr>
          <w:ilvl w:val="0"/>
          <w:numId w:val="2"/>
        </w:numPr>
        <w:spacing w:before="60" w:after="60"/>
      </w:pPr>
      <w:r>
        <w:rPr>
          <w:rFonts w:ascii="Arial" w:cs="Arial" w:eastAsia="Arial" w:hAnsi="Arial"/>
          <w:b w:val="false"/>
          <w:bCs w:val="false"/>
          <w:color w:val="222222"/>
          <w:sz w:val="22"/>
          <w:szCs w:val="22"/>
        </w:rPr>
        <w:t xml:space="preserve">Gap Closure Estimate: AI-generated estimate of how many weeks or months it would take to close all red and amber gaps based on the student's current learning pace.</w:t>
      </w:r>
    </w:p>
    <w:p>
      <w:pPr>
        <w:spacing w:before="40" w:after="40"/>
      </w:pPr>
      <w:r>
        <w:t xml:space="preserve"/>
      </w:r>
    </w:p>
    <w:p>
      <w:pPr>
        <w:spacing w:before="200" w:after="80"/>
      </w:pPr>
      <w:r>
        <w:rPr>
          <w:rFonts w:ascii="Arial" w:cs="Arial" w:eastAsia="Arial" w:hAnsi="Arial"/>
          <w:b/>
          <w:bCs/>
          <w:color w:val="0E7C60"/>
          <w:sz w:val="23"/>
          <w:szCs w:val="23"/>
        </w:rPr>
        <w:t xml:space="preserve">1.4.5 Skill Velocity Metrics</w:t>
      </w:r>
    </w:p>
    <w:p>
      <w:pPr>
        <w:spacing w:before="80" w:after="80"/>
      </w:pPr>
      <w:r>
        <w:rPr>
          <w:rFonts w:ascii="Arial" w:cs="Arial" w:eastAsia="Arial" w:hAnsi="Arial"/>
          <w:color w:val="222222"/>
          <w:sz w:val="22"/>
          <w:szCs w:val="22"/>
        </w:rPr>
        <w:t xml:space="preserve">Quantitative metrics that measure the rate and consistency of skill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Skills Acquired (30 days)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Number of new skills added to the profile in the last month</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Skills Upgraded (Quarter)</w:t>
            </w:r>
          </w:p>
        </w:tc>
        <w:tc>
          <w:tcPr>
            <w:tcW w:type="dxa" w:w="63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Number of skills that moved up at least one proficiency level this quarter</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Average Assessment Score Trend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Direction of change in assessment scores over the last 5 attempts per skill</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Most Improved Skill</w:t>
            </w:r>
          </w:p>
        </w:tc>
        <w:tc>
          <w:tcPr>
            <w:tcW w:type="dxa" w:w="63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Skill that has shown the largest proficiency jump in the most recent period</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Skill Retention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Percentage of skills that have been re-evidenced (used in a project) within the last 6 months — skills not re-used decay in weight</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Learning Consistency</w:t>
            </w:r>
          </w:p>
        </w:tc>
        <w:tc>
          <w:tcPr>
            <w:tcW w:type="dxa" w:w="63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Days per week the student actively engaged with skill-building activities on the platform</w:t>
            </w:r>
          </w:p>
        </w:tc>
      </w:tr>
    </w:tbl>
    <w:p>
      <w:pPr>
        <w:spacing w:before="40" w:after="40"/>
      </w:pPr>
      <w:r>
        <w:t xml:space="preserve"/>
      </w:r>
    </w:p>
    <w:p>
      <w:pPr>
        <w:pStyle w:val="Heading2"/>
        <w:spacing w:before="280" w:after="120"/>
      </w:pPr>
      <w:r>
        <w:rPr>
          <w:rFonts w:ascii="Arial" w:cs="Arial" w:eastAsia="Arial" w:hAnsi="Arial"/>
          <w:b/>
          <w:bCs/>
          <w:color w:val="1A73B8"/>
          <w:sz w:val="27"/>
          <w:szCs w:val="27"/>
        </w:rPr>
        <w:t xml:space="preserve">1.5 Report Access &amp; Sharing</w:t>
      </w:r>
    </w:p>
    <w:p>
      <w:pPr>
        <w:pStyle w:val="ListParagraph"/>
        <w:numPr>
          <w:ilvl w:val="0"/>
          <w:numId w:val="2"/>
        </w:numPr>
        <w:spacing w:before="60" w:after="60"/>
      </w:pPr>
      <w:r>
        <w:rPr>
          <w:rFonts w:ascii="Arial" w:cs="Arial" w:eastAsia="Arial" w:hAnsi="Arial"/>
          <w:b w:val="false"/>
          <w:bCs w:val="false"/>
          <w:color w:val="222222"/>
          <w:sz w:val="22"/>
          <w:szCs w:val="22"/>
        </w:rPr>
        <w:t xml:space="preserve">Students can view their Skill Growth Report anytime from the Analytics dashboard.</w:t>
      </w:r>
    </w:p>
    <w:p>
      <w:pPr>
        <w:pStyle w:val="ListParagraph"/>
        <w:numPr>
          <w:ilvl w:val="0"/>
          <w:numId w:val="2"/>
        </w:numPr>
        <w:spacing w:before="60" w:after="60"/>
      </w:pPr>
      <w:r>
        <w:rPr>
          <w:rFonts w:ascii="Arial" w:cs="Arial" w:eastAsia="Arial" w:hAnsi="Arial"/>
          <w:b w:val="false"/>
          <w:bCs w:val="false"/>
          <w:color w:val="222222"/>
          <w:sz w:val="22"/>
          <w:szCs w:val="22"/>
        </w:rPr>
        <w:t xml:space="preserve">Reports auto-generate in PDF format at the end of each month and are archived in the student's profile.</w:t>
      </w:r>
    </w:p>
    <w:p>
      <w:pPr>
        <w:pStyle w:val="ListParagraph"/>
        <w:numPr>
          <w:ilvl w:val="0"/>
          <w:numId w:val="2"/>
        </w:numPr>
        <w:spacing w:before="60" w:after="60"/>
      </w:pPr>
      <w:r>
        <w:rPr>
          <w:rFonts w:ascii="Arial" w:cs="Arial" w:eastAsia="Arial" w:hAnsi="Arial"/>
          <w:b w:val="false"/>
          <w:bCs w:val="false"/>
          <w:color w:val="222222"/>
          <w:sz w:val="22"/>
          <w:szCs w:val="22"/>
        </w:rPr>
        <w:t xml:space="preserve">Institute coordinators can access aggregated skill growth reports for their entire cohort or filter by department, batch, or individual student (with student consent).</w:t>
      </w:r>
    </w:p>
    <w:p>
      <w:pPr>
        <w:pStyle w:val="ListParagraph"/>
        <w:numPr>
          <w:ilvl w:val="0"/>
          <w:numId w:val="2"/>
        </w:numPr>
        <w:spacing w:before="60" w:after="60"/>
      </w:pPr>
      <w:r>
        <w:rPr>
          <w:rFonts w:ascii="Arial" w:cs="Arial" w:eastAsia="Arial" w:hAnsi="Arial"/>
          <w:b w:val="false"/>
          <w:bCs w:val="false"/>
          <w:color w:val="222222"/>
          <w:sz w:val="22"/>
          <w:szCs w:val="22"/>
        </w:rPr>
        <w:t xml:space="preserve">Recruiters viewing a candidate's portfolio see a compressed version of the Skill Growth Report showing the last 12 months of skill trajectory.</w:t>
      </w:r>
    </w:p>
    <w:p>
      <w:pPr>
        <w:pStyle w:val="ListParagraph"/>
        <w:numPr>
          <w:ilvl w:val="0"/>
          <w:numId w:val="2"/>
        </w:numPr>
        <w:spacing w:before="60" w:after="60"/>
      </w:pPr>
      <w:r>
        <w:rPr>
          <w:rFonts w:ascii="Arial" w:cs="Arial" w:eastAsia="Arial" w:hAnsi="Arial"/>
          <w:b w:val="false"/>
          <w:bCs w:val="false"/>
          <w:color w:val="222222"/>
          <w:sz w:val="22"/>
          <w:szCs w:val="22"/>
        </w:rPr>
        <w:t xml:space="preserve">Students can generate a "Skill Growth Certificate" — a shareable PDF summarising their top 5 skills with platform-verified evidence counts, suitable for attaching to job applications.</w:t>
      </w:r>
    </w:p>
    <w:p>
      <w:pPr>
        <w:spacing w:before="40" w:after="40"/>
      </w:pPr>
      <w:r>
        <w:t xml:space="preserve"/>
      </w:r>
    </w:p>
    <w:p>
      <w:pPr>
        <w:spacing w:before="40" w:after="40"/>
      </w:pPr>
      <w:r>
        <w:t xml:space="preserve"/>
      </w:r>
    </w:p>
    <w:p>
      <w:pPr>
        <w:pStyle w:val="Heading1"/>
        <w:pBdr>
          <w:bottom w:val="single" w:color="0B4F8A" w:sz="10" w:space="5"/>
        </w:pBdr>
        <w:spacing w:before="440" w:after="180"/>
      </w:pPr>
      <w:r>
        <w:rPr>
          <w:rFonts w:ascii="Arial" w:cs="Arial" w:eastAsia="Arial" w:hAnsi="Arial"/>
          <w:b/>
          <w:bCs/>
          <w:color w:val="0B4F8A"/>
          <w:sz w:val="36"/>
          <w:szCs w:val="36"/>
        </w:rPr>
        <w:t xml:space="preserve">Feature 2: Learning Analytics</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2.1 Overview</w:t>
      </w:r>
    </w:p>
    <w:p>
      <w:pPr>
        <w:spacing w:before="80" w:after="80"/>
      </w:pPr>
      <w:r>
        <w:rPr>
          <w:rFonts w:ascii="Arial" w:cs="Arial" w:eastAsia="Arial" w:hAnsi="Arial"/>
          <w:color w:val="222222"/>
          <w:sz w:val="22"/>
          <w:szCs w:val="22"/>
        </w:rPr>
        <w:t xml:space="preserve">Learning Analytics is the comprehensive behavioural and outcome measurement system that tracks, analyses, and interprets every learning interaction a student has on the EcoSkiller platform. It goes beyond simple completion tracking — measuring how students learn, not just what they have finished. It captures engagement depth, time investment, comprehension quality, learning style patterns, and outcome correlations to generate actionable insights for students, mentors, and institutes. The goal is to transform raw activity data into personalised guidance that accelerates meaningful learning.</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2.2 Data Sources Captured</w:t>
      </w:r>
    </w:p>
    <w:p>
      <w:pPr>
        <w:spacing w:before="80" w:after="80"/>
      </w:pPr>
      <w:r>
        <w:rPr>
          <w:rFonts w:ascii="Arial" w:cs="Arial" w:eastAsia="Arial" w:hAnsi="Arial"/>
          <w:color w:val="222222"/>
          <w:sz w:val="22"/>
          <w:szCs w:val="22"/>
        </w:rPr>
        <w:t xml:space="preserve">Learning Analytics draws from every interaction touchpoint across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Data Source</w:t>
            </w:r>
          </w:p>
        </w:tc>
        <w:tc>
          <w:tcPr>
            <w:tcW w:type="dxa" w:w="376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What Is Measured</w:t>
            </w:r>
          </w:p>
        </w:tc>
        <w:tc>
          <w:tcPr>
            <w:tcW w:type="dxa" w:w="28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Update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Course Modules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Videos watched, articles read, time spent per page, re-reads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Real-time</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Assessments</w:t>
            </w:r>
          </w:p>
        </w:tc>
        <w:tc>
          <w:tcPr>
            <w:tcW w:type="dxa" w:w="3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Score, time taken, question-level accuracy, retry frequency</w:t>
            </w:r>
          </w:p>
        </w:tc>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Per attempt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Projects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Milestone completion, submission quality score, mentor ratings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 milestone</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Group Discussions (GD)</w:t>
            </w:r>
          </w:p>
        </w:tc>
        <w:tc>
          <w:tcPr>
            <w:tcW w:type="dxa" w:w="3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Participation score, turn compliance, communication rating</w:t>
            </w:r>
          </w:p>
        </w:tc>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Per GD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Mentor Sessions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Attendance, session notes, action item completion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 session</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Platform Navigation</w:t>
            </w:r>
          </w:p>
        </w:tc>
        <w:tc>
          <w:tcPr>
            <w:tcW w:type="dxa" w:w="3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Search queries, pages visited, features used, time on platform</w:t>
            </w:r>
          </w:p>
        </w:tc>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Daily aggregate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Peer Interactions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Team project contributions, peer reviews given, forum activity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Weekly aggregate</w:t>
            </w:r>
          </w:p>
        </w:tc>
      </w:tr>
      <w:tr>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Job Applications</w:t>
            </w:r>
          </w:p>
        </w:tc>
        <w:tc>
          <w:tcPr>
            <w:tcW w:type="dxa" w:w="3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Applications sent, match scores achieved, interview conversions</w:t>
            </w:r>
          </w:p>
        </w:tc>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Per event</w:t>
            </w:r>
          </w:p>
        </w:tc>
      </w:tr>
    </w:tbl>
    <w:p>
      <w:pPr>
        <w:spacing w:before="40" w:after="40"/>
      </w:pPr>
      <w:r>
        <w:t xml:space="preserve"/>
      </w:r>
    </w:p>
    <w:p>
      <w:pPr>
        <w:pStyle w:val="Heading2"/>
        <w:spacing w:before="280" w:after="120"/>
      </w:pPr>
      <w:r>
        <w:rPr>
          <w:rFonts w:ascii="Arial" w:cs="Arial" w:eastAsia="Arial" w:hAnsi="Arial"/>
          <w:b/>
          <w:bCs/>
          <w:color w:val="1A73B8"/>
          <w:sz w:val="27"/>
          <w:szCs w:val="27"/>
        </w:rPr>
        <w:t xml:space="preserve">2.3 Core Analytics Modules</w:t>
      </w:r>
    </w:p>
    <w:p>
      <w:pPr>
        <w:spacing w:before="200" w:after="80"/>
      </w:pPr>
      <w:r>
        <w:rPr>
          <w:rFonts w:ascii="Arial" w:cs="Arial" w:eastAsia="Arial" w:hAnsi="Arial"/>
          <w:b/>
          <w:bCs/>
          <w:color w:val="0E7C60"/>
          <w:sz w:val="23"/>
          <w:szCs w:val="23"/>
        </w:rPr>
        <w:t xml:space="preserve">2.3.1 Engagement Analytics</w:t>
      </w:r>
    </w:p>
    <w:p>
      <w:pPr>
        <w:spacing w:before="80" w:after="80"/>
      </w:pPr>
      <w:r>
        <w:rPr>
          <w:rFonts w:ascii="Arial" w:cs="Arial" w:eastAsia="Arial" w:hAnsi="Arial"/>
          <w:color w:val="222222"/>
          <w:sz w:val="22"/>
          <w:szCs w:val="22"/>
        </w:rPr>
        <w:t xml:space="preserve">Measures the depth and consistency of a student's learning engagement:</w:t>
      </w:r>
    </w:p>
    <w:p>
      <w:pPr>
        <w:pStyle w:val="ListParagraph"/>
        <w:numPr>
          <w:ilvl w:val="0"/>
          <w:numId w:val="2"/>
        </w:numPr>
        <w:spacing w:before="60" w:after="60"/>
      </w:pPr>
      <w:r>
        <w:rPr>
          <w:rFonts w:ascii="Arial" w:cs="Arial" w:eastAsia="Arial" w:hAnsi="Arial"/>
          <w:b w:val="false"/>
          <w:bCs w:val="false"/>
          <w:color w:val="222222"/>
          <w:sz w:val="22"/>
          <w:szCs w:val="22"/>
        </w:rPr>
        <w:t xml:space="preserve">Daily Active Learning Time: Total hours per day spent in active learning activities (watching, reading, doing) vs. passive browsing.</w:t>
      </w:r>
    </w:p>
    <w:p>
      <w:pPr>
        <w:pStyle w:val="ListParagraph"/>
        <w:numPr>
          <w:ilvl w:val="0"/>
          <w:numId w:val="2"/>
        </w:numPr>
        <w:spacing w:before="60" w:after="60"/>
      </w:pPr>
      <w:r>
        <w:rPr>
          <w:rFonts w:ascii="Arial" w:cs="Arial" w:eastAsia="Arial" w:hAnsi="Arial"/>
          <w:b w:val="false"/>
          <w:bCs w:val="false"/>
          <w:color w:val="222222"/>
          <w:sz w:val="22"/>
          <w:szCs w:val="22"/>
        </w:rPr>
        <w:t xml:space="preserve">Engagement Score (0–100): Composite score based on session depth, return frequency, content completion ratio, and interaction diversity. Updated daily.</w:t>
      </w:r>
    </w:p>
    <w:p>
      <w:pPr>
        <w:pStyle w:val="ListParagraph"/>
        <w:numPr>
          <w:ilvl w:val="0"/>
          <w:numId w:val="2"/>
        </w:numPr>
        <w:spacing w:before="60" w:after="60"/>
      </w:pPr>
      <w:r>
        <w:rPr>
          <w:rFonts w:ascii="Arial" w:cs="Arial" w:eastAsia="Arial" w:hAnsi="Arial"/>
          <w:b w:val="false"/>
          <w:bCs w:val="false"/>
          <w:color w:val="222222"/>
          <w:sz w:val="22"/>
          <w:szCs w:val="22"/>
        </w:rPr>
        <w:t xml:space="preserve">Streak Tracking: Consecutive days of active platform engagement displayed as a fire-streak counter — resets on missed days. Streaks above 7, 30, and 90 days earn special recognition badges.</w:t>
      </w:r>
    </w:p>
    <w:p>
      <w:pPr>
        <w:pStyle w:val="ListParagraph"/>
        <w:numPr>
          <w:ilvl w:val="0"/>
          <w:numId w:val="2"/>
        </w:numPr>
        <w:spacing w:before="60" w:after="60"/>
      </w:pPr>
      <w:r>
        <w:rPr>
          <w:rFonts w:ascii="Arial" w:cs="Arial" w:eastAsia="Arial" w:hAnsi="Arial"/>
          <w:b w:val="false"/>
          <w:bCs w:val="false"/>
          <w:color w:val="222222"/>
          <w:sz w:val="22"/>
          <w:szCs w:val="22"/>
        </w:rPr>
        <w:t xml:space="preserve">Peak Learning Hours: Analysis of when the student is most productive (time of day, day of week) based on their highest-quality interactions. System recommends scheduling complex tasks during peak hours.</w:t>
      </w:r>
    </w:p>
    <w:p>
      <w:pPr>
        <w:pStyle w:val="ListParagraph"/>
        <w:numPr>
          <w:ilvl w:val="0"/>
          <w:numId w:val="2"/>
        </w:numPr>
        <w:spacing w:before="60" w:after="60"/>
      </w:pPr>
      <w:r>
        <w:rPr>
          <w:rFonts w:ascii="Arial" w:cs="Arial" w:eastAsia="Arial" w:hAnsi="Arial"/>
          <w:b w:val="false"/>
          <w:bCs w:val="false"/>
          <w:color w:val="222222"/>
          <w:sz w:val="22"/>
          <w:szCs w:val="22"/>
        </w:rPr>
        <w:t xml:space="preserve">Attention Span Mapping: Tracks how long a student typically engages before disengaging; surfaces this to suggest optimal content chunk sizes for that individual.</w:t>
      </w:r>
    </w:p>
    <w:p>
      <w:pPr>
        <w:pStyle w:val="ListParagraph"/>
        <w:numPr>
          <w:ilvl w:val="0"/>
          <w:numId w:val="2"/>
        </w:numPr>
        <w:spacing w:before="60" w:after="60"/>
      </w:pPr>
      <w:r>
        <w:rPr>
          <w:rFonts w:ascii="Arial" w:cs="Arial" w:eastAsia="Arial" w:hAnsi="Arial"/>
          <w:b w:val="false"/>
          <w:bCs w:val="false"/>
          <w:color w:val="222222"/>
          <w:sz w:val="22"/>
          <w:szCs w:val="22"/>
        </w:rPr>
        <w:t xml:space="preserve">Re-engagement Patterns: Identifies how many days after disengaging a student typically returns and what content type triggered their return — used to personalise reactivation notifications.</w:t>
      </w:r>
    </w:p>
    <w:p>
      <w:pPr>
        <w:spacing w:before="40" w:after="40"/>
      </w:pPr>
      <w:r>
        <w:t xml:space="preserve"/>
      </w:r>
    </w:p>
    <w:p>
      <w:pPr>
        <w:spacing w:before="200" w:after="80"/>
      </w:pPr>
      <w:r>
        <w:rPr>
          <w:rFonts w:ascii="Arial" w:cs="Arial" w:eastAsia="Arial" w:hAnsi="Arial"/>
          <w:b/>
          <w:bCs/>
          <w:color w:val="0E7C60"/>
          <w:sz w:val="23"/>
          <w:szCs w:val="23"/>
        </w:rPr>
        <w:t xml:space="preserve">2.3.2 Comprehension Analytics</w:t>
      </w:r>
    </w:p>
    <w:p>
      <w:pPr>
        <w:spacing w:before="80" w:after="80"/>
      </w:pPr>
      <w:r>
        <w:rPr>
          <w:rFonts w:ascii="Arial" w:cs="Arial" w:eastAsia="Arial" w:hAnsi="Arial"/>
          <w:color w:val="222222"/>
          <w:sz w:val="22"/>
          <w:szCs w:val="22"/>
        </w:rPr>
        <w:t xml:space="preserve">Goes beyond completion to measure whether the student actually understood the content:</w:t>
      </w:r>
    </w:p>
    <w:p>
      <w:pPr>
        <w:pStyle w:val="ListParagraph"/>
        <w:numPr>
          <w:ilvl w:val="0"/>
          <w:numId w:val="2"/>
        </w:numPr>
        <w:spacing w:before="60" w:after="60"/>
      </w:pPr>
      <w:r>
        <w:rPr>
          <w:rFonts w:ascii="Arial" w:cs="Arial" w:eastAsia="Arial" w:hAnsi="Arial"/>
          <w:b w:val="false"/>
          <w:bCs w:val="false"/>
          <w:color w:val="222222"/>
          <w:sz w:val="22"/>
          <w:szCs w:val="22"/>
        </w:rPr>
        <w:t xml:space="preserve">Question-Level Performance: For every assessment, each question is tagged by concept, difficulty, and skill. Analytics show which specific concepts a student struggles with across multiple attempts.</w:t>
      </w:r>
    </w:p>
    <w:p>
      <w:pPr>
        <w:pStyle w:val="ListParagraph"/>
        <w:numPr>
          <w:ilvl w:val="0"/>
          <w:numId w:val="2"/>
        </w:numPr>
        <w:spacing w:before="60" w:after="60"/>
      </w:pPr>
      <w:r>
        <w:rPr>
          <w:rFonts w:ascii="Arial" w:cs="Arial" w:eastAsia="Arial" w:hAnsi="Arial"/>
          <w:b w:val="false"/>
          <w:bCs w:val="false"/>
          <w:color w:val="222222"/>
          <w:sz w:val="22"/>
          <w:szCs w:val="22"/>
        </w:rPr>
        <w:t xml:space="preserve">Confidence vs. Accuracy Index: Tracks time taken per question as a proxy for confidence. Students who answer quickly but incorrectly are flagged as overconfident in that concept area; slow-and-correct students are flagged as uncertain despite knowing the material.</w:t>
      </w:r>
    </w:p>
    <w:p>
      <w:pPr>
        <w:pStyle w:val="ListParagraph"/>
        <w:numPr>
          <w:ilvl w:val="0"/>
          <w:numId w:val="2"/>
        </w:numPr>
        <w:spacing w:before="60" w:after="60"/>
      </w:pPr>
      <w:r>
        <w:rPr>
          <w:rFonts w:ascii="Arial" w:cs="Arial" w:eastAsia="Arial" w:hAnsi="Arial"/>
          <w:b w:val="false"/>
          <w:bCs w:val="false"/>
          <w:color w:val="222222"/>
          <w:sz w:val="22"/>
          <w:szCs w:val="22"/>
        </w:rPr>
        <w:t xml:space="preserve">Concept Mastery Map: A heat map of all concepts the student has been tested on, colour-coded from Not Started (white) to Mastered (dark green), with Struggling (red) and Developing (amber) in between.</w:t>
      </w:r>
    </w:p>
    <w:p>
      <w:pPr>
        <w:pStyle w:val="ListParagraph"/>
        <w:numPr>
          <w:ilvl w:val="0"/>
          <w:numId w:val="2"/>
        </w:numPr>
        <w:spacing w:before="60" w:after="60"/>
      </w:pPr>
      <w:r>
        <w:rPr>
          <w:rFonts w:ascii="Arial" w:cs="Arial" w:eastAsia="Arial" w:hAnsi="Arial"/>
          <w:b w:val="false"/>
          <w:bCs w:val="false"/>
          <w:color w:val="222222"/>
          <w:sz w:val="22"/>
          <w:szCs w:val="22"/>
        </w:rPr>
        <w:t xml:space="preserve">Forgetting Curve Detection: If a student's score on a previously mastered concept drops on a re-assessment, the system identifies this as forgetting and triggers a spaced-repetition micro-lesson.</w:t>
      </w:r>
    </w:p>
    <w:p>
      <w:pPr>
        <w:pStyle w:val="ListParagraph"/>
        <w:numPr>
          <w:ilvl w:val="0"/>
          <w:numId w:val="2"/>
        </w:numPr>
        <w:spacing w:before="60" w:after="60"/>
      </w:pPr>
      <w:r>
        <w:rPr>
          <w:rFonts w:ascii="Arial" w:cs="Arial" w:eastAsia="Arial" w:hAnsi="Arial"/>
          <w:b w:val="false"/>
          <w:bCs w:val="false"/>
          <w:color w:val="222222"/>
          <w:sz w:val="22"/>
          <w:szCs w:val="22"/>
        </w:rPr>
        <w:t xml:space="preserve">Cross-Skill Correlation: Identifies which skills reinforce each other for this student — e.g., "Students strong in SQL tend to progress faster in Data Analysis. You are strong in SQL but haven't started Data Analysis yet."</w:t>
      </w:r>
    </w:p>
    <w:p>
      <w:pPr>
        <w:spacing w:before="40" w:after="40"/>
      </w:pPr>
      <w:r>
        <w:t xml:space="preserve"/>
      </w:r>
    </w:p>
    <w:p>
      <w:pPr>
        <w:spacing w:before="200" w:after="80"/>
      </w:pPr>
      <w:r>
        <w:rPr>
          <w:rFonts w:ascii="Arial" w:cs="Arial" w:eastAsia="Arial" w:hAnsi="Arial"/>
          <w:b/>
          <w:bCs/>
          <w:color w:val="0E7C60"/>
          <w:sz w:val="23"/>
          <w:szCs w:val="23"/>
        </w:rPr>
        <w:t xml:space="preserve">2.3.3 Learning Behaviour Profiling</w:t>
      </w:r>
    </w:p>
    <w:p>
      <w:pPr>
        <w:spacing w:before="80" w:after="80"/>
      </w:pPr>
      <w:r>
        <w:rPr>
          <w:rFonts w:ascii="Arial" w:cs="Arial" w:eastAsia="Arial" w:hAnsi="Arial"/>
          <w:color w:val="222222"/>
          <w:sz w:val="22"/>
          <w:szCs w:val="22"/>
        </w:rPr>
        <w:t xml:space="preserve">EcoSkiller builds a personalised learning behaviour profile for each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Learning Style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Identifies whether the student learns best through video content, reading, hands-on projects, or assessments — based on which content type produces the highest comprehension scores</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Difficulty Preference</w:t>
            </w:r>
          </w:p>
        </w:tc>
        <w:tc>
          <w:tcPr>
            <w:tcW w:type="dxa" w:w="63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Detects whether the student gravitates toward easy content (comfort-seeking) or challenges themselves (growth-seeking) — and whether their outcomes match their preference</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Collaboration vs. Solo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Measures whether the student performs better on individual or team projects; used to recommend the appropriate project type</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Deadline Orientation</w:t>
            </w:r>
          </w:p>
        </w:tc>
        <w:tc>
          <w:tcPr>
            <w:tcW w:type="dxa" w:w="63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Classifies students as "early submitters" (submit before deadlines), "on-time submitters", or "last-minute submitters" — and tracks whether each pattern correlates with quality outcomes</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Feedback Responsiveness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Measures how quickly and thoroughly a student acts on mentor feedback; high responsiveness correlates strongly with skill growth velocity</w:t>
            </w:r>
          </w:p>
        </w:tc>
      </w:tr>
      <w:tr>
        <w:tc>
          <w:tcPr>
            <w:tcW w:type="dxa" w:w="3000"/>
            <w:tcBorders>
              <w:top w:val="single" w:color="CCCCCC" w:sz="1"/>
              <w:left w:val="single" w:color="CCCCCC" w:sz="1"/>
              <w:bottom w:val="single" w:color="CCCCCC" w:sz="1"/>
              <w:right w:val="single" w:color="CCCCCC" w:sz="1"/>
            </w:tcBorders>
            <w:shd w:fill="D0E8F8" w:val="clear"/>
            <w:tcMar>
              <w:top w:type="dxa" w:w="80"/>
              <w:left w:type="dxa" w:w="130"/>
              <w:bottom w:type="dxa" w:w="80"/>
              <w:right w:type="dxa" w:w="130"/>
            </w:tcMar>
          </w:tcPr>
          <w:p>
            <w:r>
              <w:rPr>
                <w:rFonts w:ascii="Arial" w:cs="Arial" w:eastAsia="Arial" w:hAnsi="Arial"/>
                <w:b/>
                <w:bCs/>
                <w:color w:val="0B4F8A"/>
                <w:sz w:val="20"/>
                <w:szCs w:val="20"/>
              </w:rPr>
              <w:t xml:space="preserve">Help-Seeking Behaviour</w:t>
            </w:r>
          </w:p>
        </w:tc>
        <w:tc>
          <w:tcPr>
            <w:tcW w:type="dxa" w:w="6360"/>
            <w:tcBorders>
              <w:top w:val="single" w:color="CCCCCC" w:sz="1"/>
              <w:left w:val="single" w:color="CCCCCC" w:sz="1"/>
              <w:bottom w:val="single" w:color="CCCCCC" w:sz="1"/>
              <w:right w:val="single" w:color="CCCCCC" w:sz="1"/>
            </w:tcBorders>
            <w:shd w:fill="F5FAFF" w:val="clear"/>
            <w:tcMar>
              <w:top w:type="dxa" w:w="80"/>
              <w:left w:type="dxa" w:w="130"/>
              <w:bottom w:type="dxa" w:w="80"/>
              <w:right w:type="dxa" w:w="130"/>
            </w:tcMar>
          </w:tcPr>
          <w:p>
            <w:r>
              <w:rPr>
                <w:rFonts w:ascii="Arial" w:cs="Arial" w:eastAsia="Arial" w:hAnsi="Arial"/>
                <w:sz w:val="20"/>
                <w:szCs w:val="20"/>
              </w:rPr>
              <w:t xml:space="preserve">Tracks whether the student uses available resources (asking questions, re-watching videos, using hints) or struggles silently — informing mentor intervention triggers</w:t>
            </w:r>
          </w:p>
        </w:tc>
      </w:tr>
    </w:tbl>
    <w:p>
      <w:pPr>
        <w:spacing w:before="40" w:after="40"/>
      </w:pPr>
      <w:r>
        <w:t xml:space="preserve"/>
      </w:r>
    </w:p>
    <w:p>
      <w:pPr>
        <w:spacing w:before="200" w:after="80"/>
      </w:pPr>
      <w:r>
        <w:rPr>
          <w:rFonts w:ascii="Arial" w:cs="Arial" w:eastAsia="Arial" w:hAnsi="Arial"/>
          <w:b/>
          <w:bCs/>
          <w:color w:val="0E7C60"/>
          <w:sz w:val="23"/>
          <w:szCs w:val="23"/>
        </w:rPr>
        <w:t xml:space="preserve">2.3.4 Progress vs. Plan Analytics</w:t>
      </w:r>
    </w:p>
    <w:p>
      <w:pPr>
        <w:pStyle w:val="ListParagraph"/>
        <w:numPr>
          <w:ilvl w:val="0"/>
          <w:numId w:val="2"/>
        </w:numPr>
        <w:spacing w:before="60" w:after="60"/>
      </w:pPr>
      <w:r>
        <w:rPr>
          <w:rFonts w:ascii="Arial" w:cs="Arial" w:eastAsia="Arial" w:hAnsi="Arial"/>
          <w:b w:val="false"/>
          <w:bCs w:val="false"/>
          <w:color w:val="222222"/>
          <w:sz w:val="22"/>
          <w:szCs w:val="22"/>
        </w:rPr>
        <w:t xml:space="preserve">Planned vs. Actual Learning: Compares the student's stated learning plan (courses enrolled, projects committed to, assessment targets) against actual activity completion.</w:t>
      </w:r>
    </w:p>
    <w:p>
      <w:pPr>
        <w:pStyle w:val="ListParagraph"/>
        <w:numPr>
          <w:ilvl w:val="0"/>
          <w:numId w:val="2"/>
        </w:numPr>
        <w:spacing w:before="60" w:after="60"/>
      </w:pPr>
      <w:r>
        <w:rPr>
          <w:rFonts w:ascii="Arial" w:cs="Arial" w:eastAsia="Arial" w:hAnsi="Arial"/>
          <w:b w:val="false"/>
          <w:bCs w:val="false"/>
          <w:color w:val="222222"/>
          <w:sz w:val="22"/>
          <w:szCs w:val="22"/>
        </w:rPr>
        <w:t xml:space="preserve">On-Track / Off-Track Status: Weekly status indicator showing whether the student is on pace to achieve their stated semester or career-readiness goals.</w:t>
      </w:r>
    </w:p>
    <w:p>
      <w:pPr>
        <w:pStyle w:val="ListParagraph"/>
        <w:numPr>
          <w:ilvl w:val="0"/>
          <w:numId w:val="2"/>
        </w:numPr>
        <w:spacing w:before="60" w:after="60"/>
      </w:pPr>
      <w:r>
        <w:rPr>
          <w:rFonts w:ascii="Arial" w:cs="Arial" w:eastAsia="Arial" w:hAnsi="Arial"/>
          <w:b w:val="false"/>
          <w:bCs w:val="false"/>
          <w:color w:val="222222"/>
          <w:sz w:val="22"/>
          <w:szCs w:val="22"/>
        </w:rPr>
        <w:t xml:space="preserve">Drift Detection: Identifies when a student has started spending time on content outside their stated goal area — flagging productive diversification vs. goal drift.</w:t>
      </w:r>
    </w:p>
    <w:p>
      <w:pPr>
        <w:pStyle w:val="ListParagraph"/>
        <w:numPr>
          <w:ilvl w:val="0"/>
          <w:numId w:val="2"/>
        </w:numPr>
        <w:spacing w:before="60" w:after="60"/>
      </w:pPr>
      <w:r>
        <w:rPr>
          <w:rFonts w:ascii="Arial" w:cs="Arial" w:eastAsia="Arial" w:hAnsi="Arial"/>
          <w:b w:val="false"/>
          <w:bCs w:val="false"/>
          <w:color w:val="222222"/>
          <w:sz w:val="22"/>
          <w:szCs w:val="22"/>
        </w:rPr>
        <w:t xml:space="preserve">Milestone Adherence Rate: Percentage of self-set and institute-assigned milestones hit on time in the current semester — key signal for institute coordinators.</w:t>
      </w:r>
    </w:p>
    <w:p>
      <w:pPr>
        <w:spacing w:before="40" w:after="40"/>
      </w:pPr>
      <w:r>
        <w:t xml:space="preserve"/>
      </w:r>
    </w:p>
    <w:p>
      <w:pPr>
        <w:spacing w:before="200" w:after="80"/>
      </w:pPr>
      <w:r>
        <w:rPr>
          <w:rFonts w:ascii="Arial" w:cs="Arial" w:eastAsia="Arial" w:hAnsi="Arial"/>
          <w:b/>
          <w:bCs/>
          <w:color w:val="0E7C60"/>
          <w:sz w:val="23"/>
          <w:szCs w:val="23"/>
        </w:rPr>
        <w:t xml:space="preserve">2.3.5 Comparative Analytics</w:t>
      </w:r>
    </w:p>
    <w:p>
      <w:pPr>
        <w:spacing w:before="80" w:after="80"/>
      </w:pPr>
      <w:r>
        <w:rPr>
          <w:rFonts w:ascii="Arial" w:cs="Arial" w:eastAsia="Arial" w:hAnsi="Arial"/>
          <w:color w:val="222222"/>
          <w:sz w:val="22"/>
          <w:szCs w:val="22"/>
        </w:rPr>
        <w:t xml:space="preserve">Benchmarks the student's learning outcomes against relevant peer groups:</w:t>
      </w:r>
    </w:p>
    <w:p>
      <w:pPr>
        <w:pStyle w:val="ListParagraph"/>
        <w:numPr>
          <w:ilvl w:val="0"/>
          <w:numId w:val="2"/>
        </w:numPr>
        <w:spacing w:before="60" w:after="60"/>
      </w:pPr>
      <w:r>
        <w:rPr>
          <w:rFonts w:ascii="Arial" w:cs="Arial" w:eastAsia="Arial" w:hAnsi="Arial"/>
          <w:b w:val="false"/>
          <w:bCs w:val="false"/>
          <w:color w:val="222222"/>
          <w:sz w:val="22"/>
          <w:szCs w:val="22"/>
        </w:rPr>
        <w:t xml:space="preserve">Cohort Comparison: Anonymous percentile ranking within the student's institute batch for engagement score, assessment scores, and skill breadth.</w:t>
      </w:r>
    </w:p>
    <w:p>
      <w:pPr>
        <w:pStyle w:val="ListParagraph"/>
        <w:numPr>
          <w:ilvl w:val="0"/>
          <w:numId w:val="2"/>
        </w:numPr>
        <w:spacing w:before="60" w:after="60"/>
      </w:pPr>
      <w:r>
        <w:rPr>
          <w:rFonts w:ascii="Arial" w:cs="Arial" w:eastAsia="Arial" w:hAnsi="Arial"/>
          <w:b w:val="false"/>
          <w:bCs w:val="false"/>
          <w:color w:val="222222"/>
          <w:sz w:val="22"/>
          <w:szCs w:val="22"/>
        </w:rPr>
        <w:t xml:space="preserve">Platform Average Comparison: How the student compares to all EcoSkiller users at a similar experience stage.</w:t>
      </w:r>
    </w:p>
    <w:p>
      <w:pPr>
        <w:pStyle w:val="ListParagraph"/>
        <w:numPr>
          <w:ilvl w:val="0"/>
          <w:numId w:val="2"/>
        </w:numPr>
        <w:spacing w:before="60" w:after="60"/>
      </w:pPr>
      <w:r>
        <w:rPr>
          <w:rFonts w:ascii="Arial" w:cs="Arial" w:eastAsia="Arial" w:hAnsi="Arial"/>
          <w:b w:val="false"/>
          <w:bCs w:val="false"/>
          <w:color w:val="222222"/>
          <w:sz w:val="22"/>
          <w:szCs w:val="22"/>
        </w:rPr>
        <w:t xml:space="preserve">Placement Success Cohort Comparison: How the student compares to the subset of EcoSkiller users who successfully received job offers in their target domain — identifying the specific behaviours and skill levels that differentiated successful candidates.</w:t>
      </w:r>
    </w:p>
    <w:p>
      <w:pPr>
        <w:pStyle w:val="ListParagraph"/>
        <w:numPr>
          <w:ilvl w:val="0"/>
          <w:numId w:val="2"/>
        </w:numPr>
        <w:spacing w:before="60" w:after="60"/>
      </w:pPr>
      <w:r>
        <w:rPr>
          <w:rFonts w:ascii="Arial" w:cs="Arial" w:eastAsia="Arial" w:hAnsi="Arial"/>
          <w:b w:val="false"/>
          <w:bCs w:val="false"/>
          <w:color w:val="222222"/>
          <w:sz w:val="22"/>
          <w:szCs w:val="22"/>
        </w:rPr>
        <w:t xml:space="preserve">Ranking is always shown as a percentile range (e.g., "Top 20%") — never as an exact rank — to reduce unhealthy comparison anxiety while maintaining motivational signal.</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2.4 Learning Recommendations Engine</w:t>
      </w:r>
    </w:p>
    <w:p>
      <w:pPr>
        <w:spacing w:before="80" w:after="80"/>
      </w:pPr>
      <w:r>
        <w:rPr>
          <w:rFonts w:ascii="Arial" w:cs="Arial" w:eastAsia="Arial" w:hAnsi="Arial"/>
          <w:color w:val="222222"/>
          <w:sz w:val="22"/>
          <w:szCs w:val="22"/>
        </w:rPr>
        <w:t xml:space="preserve">Learning Analytics feeds directly into the platform's recommendation engine:</w:t>
      </w:r>
    </w:p>
    <w:p>
      <w:pPr>
        <w:pStyle w:val="ListParagraph"/>
        <w:numPr>
          <w:ilvl w:val="0"/>
          <w:numId w:val="2"/>
        </w:numPr>
        <w:spacing w:before="60" w:after="60"/>
      </w:pPr>
      <w:r>
        <w:rPr>
          <w:rFonts w:ascii="Arial" w:cs="Arial" w:eastAsia="Arial" w:hAnsi="Arial"/>
          <w:b w:val="false"/>
          <w:bCs w:val="false"/>
          <w:color w:val="222222"/>
          <w:sz w:val="22"/>
          <w:szCs w:val="22"/>
        </w:rPr>
        <w:t xml:space="preserve">Next Best Action: Based on current gaps, engagement patterns, and career goals, the system surfaces one high-priority next action per day (e.g., "Complete the SQL Window Functions module — this is your top missing concept for Data Analyst roles").</w:t>
      </w:r>
    </w:p>
    <w:p>
      <w:pPr>
        <w:pStyle w:val="ListParagraph"/>
        <w:numPr>
          <w:ilvl w:val="0"/>
          <w:numId w:val="2"/>
        </w:numPr>
        <w:spacing w:before="60" w:after="60"/>
      </w:pPr>
      <w:r>
        <w:rPr>
          <w:rFonts w:ascii="Arial" w:cs="Arial" w:eastAsia="Arial" w:hAnsi="Arial"/>
          <w:b w:val="false"/>
          <w:bCs w:val="false"/>
          <w:color w:val="222222"/>
          <w:sz w:val="22"/>
          <w:szCs w:val="22"/>
        </w:rPr>
        <w:t xml:space="preserve">Content Sequencing: Recommends the optimal order to consume content based on the student's concept mastery map and learning style profile.</w:t>
      </w:r>
    </w:p>
    <w:p>
      <w:pPr>
        <w:pStyle w:val="ListParagraph"/>
        <w:numPr>
          <w:ilvl w:val="0"/>
          <w:numId w:val="2"/>
        </w:numPr>
        <w:spacing w:before="60" w:after="60"/>
      </w:pPr>
      <w:r>
        <w:rPr>
          <w:rFonts w:ascii="Arial" w:cs="Arial" w:eastAsia="Arial" w:hAnsi="Arial"/>
          <w:b w:val="false"/>
          <w:bCs w:val="false"/>
          <w:color w:val="222222"/>
          <w:sz w:val="22"/>
          <w:szCs w:val="22"/>
        </w:rPr>
        <w:t xml:space="preserve">Overload Detection: If the student's engagement pattern shows signs of burnout (declining session quality, increasing abandonment rates), the system reduces recommendation intensity and suggests a lighter review activity.</w:t>
      </w:r>
    </w:p>
    <w:p>
      <w:pPr>
        <w:pStyle w:val="ListParagraph"/>
        <w:numPr>
          <w:ilvl w:val="0"/>
          <w:numId w:val="2"/>
        </w:numPr>
        <w:spacing w:before="60" w:after="60"/>
      </w:pPr>
      <w:r>
        <w:rPr>
          <w:rFonts w:ascii="Arial" w:cs="Arial" w:eastAsia="Arial" w:hAnsi="Arial"/>
          <w:b w:val="false"/>
          <w:bCs w:val="false"/>
          <w:color w:val="222222"/>
          <w:sz w:val="22"/>
          <w:szCs w:val="22"/>
        </w:rPr>
        <w:t xml:space="preserve">Adaptive Assessment Scheduling: Uses spaced-repetition logic to schedule concept re-assessments at the optimal interval before forgetting occurs.</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2.5 Institute-Facing Learning Analytics</w:t>
      </w:r>
    </w:p>
    <w:p>
      <w:pPr>
        <w:pStyle w:val="ListParagraph"/>
        <w:numPr>
          <w:ilvl w:val="0"/>
          <w:numId w:val="2"/>
        </w:numPr>
        <w:spacing w:before="60" w:after="60"/>
      </w:pPr>
      <w:r>
        <w:rPr>
          <w:rFonts w:ascii="Arial" w:cs="Arial" w:eastAsia="Arial" w:hAnsi="Arial"/>
          <w:b w:val="false"/>
          <w:bCs w:val="false"/>
          <w:color w:val="222222"/>
          <w:sz w:val="22"/>
          <w:szCs w:val="22"/>
        </w:rPr>
        <w:t xml:space="preserve">Cohort Risk Dashboard: Flags students whose engagement score has dropped below 40 for 2+ consecutive weeks as "At Risk" — triggering a coordinator alert.</w:t>
      </w:r>
    </w:p>
    <w:p>
      <w:pPr>
        <w:pStyle w:val="ListParagraph"/>
        <w:numPr>
          <w:ilvl w:val="0"/>
          <w:numId w:val="2"/>
        </w:numPr>
        <w:spacing w:before="60" w:after="60"/>
      </w:pPr>
      <w:r>
        <w:rPr>
          <w:rFonts w:ascii="Arial" w:cs="Arial" w:eastAsia="Arial" w:hAnsi="Arial"/>
          <w:b w:val="false"/>
          <w:bCs w:val="false"/>
          <w:color w:val="222222"/>
          <w:sz w:val="22"/>
          <w:szCs w:val="22"/>
        </w:rPr>
        <w:t xml:space="preserve">Batch Learning Heatmap: Shows which topics the entire batch is struggling with, enabling instructors to adjust their teaching focus.</w:t>
      </w:r>
    </w:p>
    <w:p>
      <w:pPr>
        <w:pStyle w:val="ListParagraph"/>
        <w:numPr>
          <w:ilvl w:val="0"/>
          <w:numId w:val="2"/>
        </w:numPr>
        <w:spacing w:before="60" w:after="60"/>
      </w:pPr>
      <w:r>
        <w:rPr>
          <w:rFonts w:ascii="Arial" w:cs="Arial" w:eastAsia="Arial" w:hAnsi="Arial"/>
          <w:b w:val="false"/>
          <w:bCs w:val="false"/>
          <w:color w:val="222222"/>
          <w:sz w:val="22"/>
          <w:szCs w:val="22"/>
        </w:rPr>
        <w:t xml:space="preserve">Comparative Batch Performance: Side-by-side comparison of learning metrics across different batches, departments, or academic years.</w:t>
      </w:r>
    </w:p>
    <w:p>
      <w:pPr>
        <w:pStyle w:val="ListParagraph"/>
        <w:numPr>
          <w:ilvl w:val="0"/>
          <w:numId w:val="2"/>
        </w:numPr>
        <w:spacing w:before="60" w:after="60"/>
      </w:pPr>
      <w:r>
        <w:rPr>
          <w:rFonts w:ascii="Arial" w:cs="Arial" w:eastAsia="Arial" w:hAnsi="Arial"/>
          <w:b w:val="false"/>
          <w:bCs w:val="false"/>
          <w:color w:val="222222"/>
          <w:sz w:val="22"/>
          <w:szCs w:val="22"/>
        </w:rPr>
        <w:t xml:space="preserve">Learning Outcome to Placement Correlation: Shows which learning behaviours (high engagement, project completion, assessment consistency) correlate most strongly with placement outcomes for the institute's students — institution-specific insights.</w:t>
      </w:r>
    </w:p>
    <w:p>
      <w:pPr>
        <w:spacing w:before="40" w:after="40"/>
      </w:pPr>
      <w:r>
        <w:t xml:space="preserve"/>
      </w:r>
    </w:p>
    <w:p>
      <w:pPr>
        <w:spacing w:before="40" w:after="40"/>
      </w:pPr>
      <w:r>
        <w:t xml:space="preserve"/>
      </w:r>
    </w:p>
    <w:p>
      <w:pPr>
        <w:pStyle w:val="Heading1"/>
        <w:pBdr>
          <w:bottom w:val="single" w:color="0B4F8A" w:sz="10" w:space="5"/>
        </w:pBdr>
        <w:spacing w:before="440" w:after="180"/>
      </w:pPr>
      <w:r>
        <w:rPr>
          <w:rFonts w:ascii="Arial" w:cs="Arial" w:eastAsia="Arial" w:hAnsi="Arial"/>
          <w:b/>
          <w:bCs/>
          <w:color w:val="0B4F8A"/>
          <w:sz w:val="36"/>
          <w:szCs w:val="36"/>
        </w:rPr>
        <w:t xml:space="preserve">Feature 3: Career Readiness Score</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3.1 Overview</w:t>
      </w:r>
    </w:p>
    <w:p>
      <w:pPr>
        <w:spacing w:before="80" w:after="80"/>
      </w:pPr>
      <w:r>
        <w:rPr>
          <w:rFonts w:ascii="Arial" w:cs="Arial" w:eastAsia="Arial" w:hAnsi="Arial"/>
          <w:color w:val="222222"/>
          <w:sz w:val="22"/>
          <w:szCs w:val="22"/>
        </w:rPr>
        <w:t xml:space="preserve">The Career Readiness Score (CRS) is EcoSkiller's flagship composite metric — a single, dynamic number (0–100) that represents how prepared a student is to successfully enter their target career path and perform effectively in a professional role. It synthesises data from every module of the platform — skills, projects, learning behaviour, assessments, communication, and professional conduct — into one actionable, transparent, and continuously updated score. The CRS is EcoSkiller's answer to the question every student, parent, recruiter, and institute asks: Is this student truly ready?</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3.2 CRS Architecture — The Six Pillars</w:t>
      </w:r>
    </w:p>
    <w:p>
      <w:pPr>
        <w:spacing w:before="80" w:after="80"/>
      </w:pPr>
      <w:r>
        <w:rPr>
          <w:rFonts w:ascii="Arial" w:cs="Arial" w:eastAsia="Arial" w:hAnsi="Arial"/>
          <w:color w:val="222222"/>
          <w:sz w:val="22"/>
          <w:szCs w:val="22"/>
        </w:rPr>
        <w:t xml:space="preserve">The Career Readiness Score is computed from six weighted pillars, each measuring a distinct dimension of professional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1500"/>
        <w:gridCol w:w="1500"/>
      </w:tblGrid>
      <w:tr>
        <w:trPr>
          <w:tblHeader/>
        </w:trPr>
        <w:tc>
          <w:tcPr>
            <w:tcW w:type="dxa" w:w="22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Pillar</w:t>
            </w:r>
          </w:p>
        </w:tc>
        <w:tc>
          <w:tcPr>
            <w:tcW w:type="dxa" w:w="416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What It Measures</w:t>
            </w:r>
          </w:p>
        </w:tc>
        <w:tc>
          <w:tcPr>
            <w:tcW w:type="dxa" w:w="15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Weight</w:t>
            </w:r>
          </w:p>
        </w:tc>
        <w:tc>
          <w:tcPr>
            <w:tcW w:type="dxa" w:w="15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Data Sources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Technical Competency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Depth and breadth of verified skills relevant to the target career path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Assessments + Project Scores + Skill Graph</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Practical Experience</w:t>
            </w:r>
          </w:p>
        </w:tc>
        <w:tc>
          <w:tcPr>
            <w:tcW w:type="dxa" w:w="41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Quality and volume of real-world project work, internships, and applied learning</w:t>
            </w:r>
          </w:p>
        </w:tc>
        <w:tc>
          <w:tcPr>
            <w:tcW w:type="dxa" w:w="15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25%</w:t>
            </w:r>
          </w:p>
        </w:tc>
        <w:tc>
          <w:tcPr>
            <w:tcW w:type="dxa" w:w="15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Project Portfolio + Mentor Evaluations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Communication Skills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Written, verbal, and collaborative communication ability measured across multiple interactions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GD Scores + Mentor Ratings + Project Reports</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Professional Conduct</w:t>
            </w:r>
          </w:p>
        </w:tc>
        <w:tc>
          <w:tcPr>
            <w:tcW w:type="dxa" w:w="41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Reliability, deadline adherence, feedback responsiveness, and ethical behaviour</w:t>
            </w:r>
          </w:p>
        </w:tc>
        <w:tc>
          <w:tcPr>
            <w:tcW w:type="dxa" w:w="15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15%</w:t>
            </w:r>
          </w:p>
        </w:tc>
        <w:tc>
          <w:tcPr>
            <w:tcW w:type="dxa" w:w="15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Platform Engagement + Milestone Compliance + Behavioural Flags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Learning Agility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Speed of skill acquisition, adaptability to new domains, response to feedback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Learning Analytics + Score Improvement Trends</w:t>
            </w:r>
          </w:p>
        </w:tc>
      </w:tr>
      <w:tr>
        <w:tc>
          <w:tcPr>
            <w:tcW w:type="dxa" w:w="2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Career Alignment</w:t>
            </w:r>
          </w:p>
        </w:tc>
        <w:tc>
          <w:tcPr>
            <w:tcW w:type="dxa" w:w="41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Completeness of career preparation activities: profile, resume, applications, interview practice</w:t>
            </w:r>
          </w:p>
        </w:tc>
        <w:tc>
          <w:tcPr>
            <w:tcW w:type="dxa" w:w="15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Profile Completeness + Application History + Interview Prep Module</w:t>
            </w:r>
          </w:p>
        </w:tc>
      </w:tr>
    </w:tbl>
    <w:p>
      <w:pPr>
        <w:spacing w:before="40" w:after="40"/>
      </w:pPr>
      <w:r>
        <w:t xml:space="preserve"/>
      </w:r>
    </w:p>
    <w:p>
      <w:pPr>
        <w:pStyle w:val="Heading2"/>
        <w:spacing w:before="280" w:after="120"/>
      </w:pPr>
      <w:r>
        <w:rPr>
          <w:rFonts w:ascii="Arial" w:cs="Arial" w:eastAsia="Arial" w:hAnsi="Arial"/>
          <w:b/>
          <w:bCs/>
          <w:color w:val="1A73B8"/>
          <w:sz w:val="27"/>
          <w:szCs w:val="27"/>
        </w:rPr>
        <w:t xml:space="preserve">3.3 Pillar-Level Deep Dive</w:t>
      </w:r>
    </w:p>
    <w:p>
      <w:pPr>
        <w:spacing w:before="200" w:after="80"/>
      </w:pPr>
      <w:r>
        <w:rPr>
          <w:rFonts w:ascii="Arial" w:cs="Arial" w:eastAsia="Arial" w:hAnsi="Arial"/>
          <w:b/>
          <w:bCs/>
          <w:color w:val="0E7C60"/>
          <w:sz w:val="23"/>
          <w:szCs w:val="23"/>
        </w:rPr>
        <w:t xml:space="preserve">3.3.1 Technical Competency (30%)</w:t>
      </w:r>
    </w:p>
    <w:p>
      <w:pPr>
        <w:pStyle w:val="ListParagraph"/>
        <w:numPr>
          <w:ilvl w:val="0"/>
          <w:numId w:val="2"/>
        </w:numPr>
        <w:spacing w:before="60" w:after="60"/>
      </w:pPr>
      <w:r>
        <w:rPr>
          <w:rFonts w:ascii="Arial" w:cs="Arial" w:eastAsia="Arial" w:hAnsi="Arial"/>
          <w:b w:val="false"/>
          <w:bCs w:val="false"/>
          <w:color w:val="222222"/>
          <w:sz w:val="22"/>
          <w:szCs w:val="22"/>
        </w:rPr>
        <w:t xml:space="preserve">Required Skills Coverage: Percentage of the target role's mandatory skills that the student has at or above the required proficiency level. A student targeting "Data Analyst" roles who has verified SQL, Python, Excel, and Data Visualisation at Intermediate+ level scores highly here.</w:t>
      </w:r>
    </w:p>
    <w:p>
      <w:pPr>
        <w:pStyle w:val="ListParagraph"/>
        <w:numPr>
          <w:ilvl w:val="0"/>
          <w:numId w:val="2"/>
        </w:numPr>
        <w:spacing w:before="60" w:after="60"/>
      </w:pPr>
      <w:r>
        <w:rPr>
          <w:rFonts w:ascii="Arial" w:cs="Arial" w:eastAsia="Arial" w:hAnsi="Arial"/>
          <w:b w:val="false"/>
          <w:bCs w:val="false"/>
          <w:color w:val="222222"/>
          <w:sz w:val="22"/>
          <w:szCs w:val="22"/>
        </w:rPr>
        <w:t xml:space="preserve">Assessment Score Quality: Average of the student's top assessment scores in domain-relevant subjects — weighted toward recent scores to reflect current capability.</w:t>
      </w:r>
    </w:p>
    <w:p>
      <w:pPr>
        <w:pStyle w:val="ListParagraph"/>
        <w:numPr>
          <w:ilvl w:val="0"/>
          <w:numId w:val="2"/>
        </w:numPr>
        <w:spacing w:before="60" w:after="60"/>
      </w:pPr>
      <w:r>
        <w:rPr>
          <w:rFonts w:ascii="Arial" w:cs="Arial" w:eastAsia="Arial" w:hAnsi="Arial"/>
          <w:b w:val="false"/>
          <w:bCs w:val="false"/>
          <w:color w:val="222222"/>
          <w:sz w:val="22"/>
          <w:szCs w:val="22"/>
        </w:rPr>
        <w:t xml:space="preserve">Skill Breadth Bonus: Students with verified skills across multiple sub-domains of their target path (not just deep in one) receive a breadth bonus (up to +5 points).</w:t>
      </w:r>
    </w:p>
    <w:p>
      <w:pPr>
        <w:pStyle w:val="ListParagraph"/>
        <w:numPr>
          <w:ilvl w:val="0"/>
          <w:numId w:val="2"/>
        </w:numPr>
        <w:spacing w:before="60" w:after="60"/>
      </w:pPr>
      <w:r>
        <w:rPr>
          <w:rFonts w:ascii="Arial" w:cs="Arial" w:eastAsia="Arial" w:hAnsi="Arial"/>
          <w:b w:val="false"/>
          <w:bCs w:val="false"/>
          <w:color w:val="222222"/>
          <w:sz w:val="22"/>
          <w:szCs w:val="22"/>
        </w:rPr>
        <w:t xml:space="preserve">Certification Credit: Industry-recognised certifications (AWS, Google Analytics, CFA Level 1, etc.) add weighted points to technical competency — scaled by the certification's relevance to the target path.</w:t>
      </w:r>
    </w:p>
    <w:p>
      <w:pPr>
        <w:spacing w:before="40" w:after="40"/>
      </w:pPr>
      <w:r>
        <w:t xml:space="preserve"/>
      </w:r>
    </w:p>
    <w:p>
      <w:pPr>
        <w:spacing w:before="200" w:after="80"/>
      </w:pPr>
      <w:r>
        <w:rPr>
          <w:rFonts w:ascii="Arial" w:cs="Arial" w:eastAsia="Arial" w:hAnsi="Arial"/>
          <w:b/>
          <w:bCs/>
          <w:color w:val="0E7C60"/>
          <w:sz w:val="23"/>
          <w:szCs w:val="23"/>
        </w:rPr>
        <w:t xml:space="preserve">3.3.2 Practical Experience (25%)</w:t>
      </w:r>
    </w:p>
    <w:p>
      <w:pPr>
        <w:pStyle w:val="ListParagraph"/>
        <w:numPr>
          <w:ilvl w:val="0"/>
          <w:numId w:val="2"/>
        </w:numPr>
        <w:spacing w:before="60" w:after="60"/>
      </w:pPr>
      <w:r>
        <w:rPr>
          <w:rFonts w:ascii="Arial" w:cs="Arial" w:eastAsia="Arial" w:hAnsi="Arial"/>
          <w:b w:val="false"/>
          <w:bCs w:val="false"/>
          <w:color w:val="222222"/>
          <w:sz w:val="22"/>
          <w:szCs w:val="22"/>
        </w:rPr>
        <w:t xml:space="preserve">Project Count and Diversity: Number of completed projects, with bonus weighting for projects in the exact domain of the target career path and for projects that were collaborations with real SMEs or companies.</w:t>
      </w:r>
    </w:p>
    <w:p>
      <w:pPr>
        <w:pStyle w:val="ListParagraph"/>
        <w:numPr>
          <w:ilvl w:val="0"/>
          <w:numId w:val="2"/>
        </w:numPr>
        <w:spacing w:before="60" w:after="60"/>
      </w:pPr>
      <w:r>
        <w:rPr>
          <w:rFonts w:ascii="Arial" w:cs="Arial" w:eastAsia="Arial" w:hAnsi="Arial"/>
          <w:b w:val="false"/>
          <w:bCs w:val="false"/>
          <w:color w:val="222222"/>
          <w:sz w:val="22"/>
          <w:szCs w:val="22"/>
        </w:rPr>
        <w:t xml:space="preserve">Project Quality Score: Composite of mentor evaluation scores across all completed projects, weighted toward projects from the last 12 months.</w:t>
      </w:r>
    </w:p>
    <w:p>
      <w:pPr>
        <w:pStyle w:val="ListParagraph"/>
        <w:numPr>
          <w:ilvl w:val="0"/>
          <w:numId w:val="2"/>
        </w:numPr>
        <w:spacing w:before="60" w:after="60"/>
      </w:pPr>
      <w:r>
        <w:rPr>
          <w:rFonts w:ascii="Arial" w:cs="Arial" w:eastAsia="Arial" w:hAnsi="Arial"/>
          <w:b w:val="false"/>
          <w:bCs w:val="false"/>
          <w:color w:val="222222"/>
          <w:sz w:val="22"/>
          <w:szCs w:val="22"/>
        </w:rPr>
        <w:t xml:space="preserve">Internship Experience: Verified internships (especially PPO-eligible or in the target domain) contribute significantly to this pillar.</w:t>
      </w:r>
    </w:p>
    <w:p>
      <w:pPr>
        <w:pStyle w:val="ListParagraph"/>
        <w:numPr>
          <w:ilvl w:val="0"/>
          <w:numId w:val="2"/>
        </w:numPr>
        <w:spacing w:before="60" w:after="60"/>
      </w:pPr>
      <w:r>
        <w:rPr>
          <w:rFonts w:ascii="Arial" w:cs="Arial" w:eastAsia="Arial" w:hAnsi="Arial"/>
          <w:b w:val="false"/>
          <w:bCs w:val="false"/>
          <w:color w:val="222222"/>
          <w:sz w:val="22"/>
          <w:szCs w:val="22"/>
        </w:rPr>
        <w:t xml:space="preserve">Work Experience Credit: Prior employment experience is weighted and credited, with industry relevance affecting the multiplier.</w:t>
      </w:r>
    </w:p>
    <w:p>
      <w:pPr>
        <w:pStyle w:val="ListParagraph"/>
        <w:numPr>
          <w:ilvl w:val="0"/>
          <w:numId w:val="2"/>
        </w:numPr>
        <w:spacing w:before="60" w:after="60"/>
      </w:pPr>
      <w:r>
        <w:rPr>
          <w:rFonts w:ascii="Arial" w:cs="Arial" w:eastAsia="Arial" w:hAnsi="Arial"/>
          <w:b w:val="false"/>
          <w:bCs w:val="false"/>
          <w:color w:val="222222"/>
          <w:sz w:val="22"/>
          <w:szCs w:val="22"/>
        </w:rPr>
        <w:t xml:space="preserve">Portfolio Completeness: A complete, public-facing project portfolio with high-quality descriptions, links, and mentor endorsements adds to the practical experience score — since it demonstrates the ability to present work professionally.</w:t>
      </w:r>
    </w:p>
    <w:p>
      <w:pPr>
        <w:spacing w:before="40" w:after="40"/>
      </w:pPr>
      <w:r>
        <w:t xml:space="preserve"/>
      </w:r>
    </w:p>
    <w:p>
      <w:pPr>
        <w:spacing w:before="200" w:after="80"/>
      </w:pPr>
      <w:r>
        <w:rPr>
          <w:rFonts w:ascii="Arial" w:cs="Arial" w:eastAsia="Arial" w:hAnsi="Arial"/>
          <w:b/>
          <w:bCs/>
          <w:color w:val="0E7C60"/>
          <w:sz w:val="23"/>
          <w:szCs w:val="23"/>
        </w:rPr>
        <w:t xml:space="preserve">3.3.3 Communication Skills (15%)</w:t>
      </w:r>
    </w:p>
    <w:p>
      <w:pPr>
        <w:pStyle w:val="ListParagraph"/>
        <w:numPr>
          <w:ilvl w:val="0"/>
          <w:numId w:val="2"/>
        </w:numPr>
        <w:spacing w:before="60" w:after="60"/>
      </w:pPr>
      <w:r>
        <w:rPr>
          <w:rFonts w:ascii="Arial" w:cs="Arial" w:eastAsia="Arial" w:hAnsi="Arial"/>
          <w:b w:val="false"/>
          <w:bCs w:val="false"/>
          <w:color w:val="222222"/>
          <w:sz w:val="22"/>
          <w:szCs w:val="22"/>
        </w:rPr>
        <w:t xml:space="preserve">Group Discussion Score: Scores from platform-hosted automated and mentor-moderated GD sessions, measuring structured speaking, rebuttal quality, and time compliance.</w:t>
      </w:r>
    </w:p>
    <w:p>
      <w:pPr>
        <w:pStyle w:val="ListParagraph"/>
        <w:numPr>
          <w:ilvl w:val="0"/>
          <w:numId w:val="2"/>
        </w:numPr>
        <w:spacing w:before="60" w:after="60"/>
      </w:pPr>
      <w:r>
        <w:rPr>
          <w:rFonts w:ascii="Arial" w:cs="Arial" w:eastAsia="Arial" w:hAnsi="Arial"/>
          <w:b w:val="false"/>
          <w:bCs w:val="false"/>
          <w:color w:val="222222"/>
          <w:sz w:val="22"/>
          <w:szCs w:val="22"/>
        </w:rPr>
        <w:t xml:space="preserve">Written Communication Quality: AI evaluation of the student's project reports, cover notes, and reflection submissions for clarity, grammar, structure, and professionalism — scored on a rubric.</w:t>
      </w:r>
    </w:p>
    <w:p>
      <w:pPr>
        <w:pStyle w:val="ListParagraph"/>
        <w:numPr>
          <w:ilvl w:val="0"/>
          <w:numId w:val="2"/>
        </w:numPr>
        <w:spacing w:before="60" w:after="60"/>
      </w:pPr>
      <w:r>
        <w:rPr>
          <w:rFonts w:ascii="Arial" w:cs="Arial" w:eastAsia="Arial" w:hAnsi="Arial"/>
          <w:b w:val="false"/>
          <w:bCs w:val="false"/>
          <w:color w:val="222222"/>
          <w:sz w:val="22"/>
          <w:szCs w:val="22"/>
        </w:rPr>
        <w:t xml:space="preserve">Presentation Ratings: Mentor ratings of slide quality and verbal presentation from project review sessions.</w:t>
      </w:r>
    </w:p>
    <w:p>
      <w:pPr>
        <w:pStyle w:val="ListParagraph"/>
        <w:numPr>
          <w:ilvl w:val="0"/>
          <w:numId w:val="2"/>
        </w:numPr>
        <w:spacing w:before="60" w:after="60"/>
      </w:pPr>
      <w:r>
        <w:rPr>
          <w:rFonts w:ascii="Arial" w:cs="Arial" w:eastAsia="Arial" w:hAnsi="Arial"/>
          <w:b w:val="false"/>
          <w:bCs w:val="false"/>
          <w:color w:val="222222"/>
          <w:sz w:val="22"/>
          <w:szCs w:val="22"/>
        </w:rPr>
        <w:t xml:space="preserve">Responsiveness Score: Speed and quality of responses to mentor feedback and recruiter communications, as a proxy for professional communication standards.</w:t>
      </w:r>
    </w:p>
    <w:p>
      <w:pPr>
        <w:spacing w:before="40" w:after="40"/>
      </w:pPr>
      <w:r>
        <w:t xml:space="preserve"/>
      </w:r>
    </w:p>
    <w:p>
      <w:pPr>
        <w:spacing w:before="200" w:after="80"/>
      </w:pPr>
      <w:r>
        <w:rPr>
          <w:rFonts w:ascii="Arial" w:cs="Arial" w:eastAsia="Arial" w:hAnsi="Arial"/>
          <w:b/>
          <w:bCs/>
          <w:color w:val="0E7C60"/>
          <w:sz w:val="23"/>
          <w:szCs w:val="23"/>
        </w:rPr>
        <w:t xml:space="preserve">3.3.4 Professional Conduct (15%)</w:t>
      </w:r>
    </w:p>
    <w:p>
      <w:pPr>
        <w:pStyle w:val="ListParagraph"/>
        <w:numPr>
          <w:ilvl w:val="0"/>
          <w:numId w:val="2"/>
        </w:numPr>
        <w:spacing w:before="60" w:after="60"/>
      </w:pPr>
      <w:r>
        <w:rPr>
          <w:rFonts w:ascii="Arial" w:cs="Arial" w:eastAsia="Arial" w:hAnsi="Arial"/>
          <w:b w:val="false"/>
          <w:bCs w:val="false"/>
          <w:color w:val="222222"/>
          <w:sz w:val="22"/>
          <w:szCs w:val="22"/>
        </w:rPr>
        <w:t xml:space="preserve">Deadline Adherence Rate: Percentage of project milestones and assessment deadlines met on or before the due date — a critical professional reliability signal.</w:t>
      </w:r>
    </w:p>
    <w:p>
      <w:pPr>
        <w:pStyle w:val="ListParagraph"/>
        <w:numPr>
          <w:ilvl w:val="0"/>
          <w:numId w:val="2"/>
        </w:numPr>
        <w:spacing w:before="60" w:after="60"/>
      </w:pPr>
      <w:r>
        <w:rPr>
          <w:rFonts w:ascii="Arial" w:cs="Arial" w:eastAsia="Arial" w:hAnsi="Arial"/>
          <w:b w:val="false"/>
          <w:bCs w:val="false"/>
          <w:color w:val="222222"/>
          <w:sz w:val="22"/>
          <w:szCs w:val="22"/>
        </w:rPr>
        <w:t xml:space="preserve">Session Attendance Rate: Percentage of scheduled mentor sessions attended vs. missed or cancelled without notice.</w:t>
      </w:r>
    </w:p>
    <w:p>
      <w:pPr>
        <w:pStyle w:val="ListParagraph"/>
        <w:numPr>
          <w:ilvl w:val="0"/>
          <w:numId w:val="2"/>
        </w:numPr>
        <w:spacing w:before="60" w:after="60"/>
      </w:pPr>
      <w:r>
        <w:rPr>
          <w:rFonts w:ascii="Arial" w:cs="Arial" w:eastAsia="Arial" w:hAnsi="Arial"/>
          <w:b w:val="false"/>
          <w:bCs w:val="false"/>
          <w:color w:val="222222"/>
          <w:sz w:val="22"/>
          <w:szCs w:val="22"/>
        </w:rPr>
        <w:t xml:space="preserve">Feedback Integration Score: How thoroughly and quickly the student acts on mentor and peer feedback across projects.</w:t>
      </w:r>
    </w:p>
    <w:p>
      <w:pPr>
        <w:pStyle w:val="ListParagraph"/>
        <w:numPr>
          <w:ilvl w:val="0"/>
          <w:numId w:val="2"/>
        </w:numPr>
        <w:spacing w:before="60" w:after="60"/>
      </w:pPr>
      <w:r>
        <w:rPr>
          <w:rFonts w:ascii="Arial" w:cs="Arial" w:eastAsia="Arial" w:hAnsi="Arial"/>
          <w:b w:val="false"/>
          <w:bCs w:val="false"/>
          <w:color w:val="222222"/>
          <w:sz w:val="22"/>
          <w:szCs w:val="22"/>
        </w:rPr>
        <w:t xml:space="preserve">Academic Integrity Record: Any flagged instances of plagiarism, code copying, or assessment misconduct result in a hard cap on this pillar score.</w:t>
      </w:r>
    </w:p>
    <w:p>
      <w:pPr>
        <w:pStyle w:val="ListParagraph"/>
        <w:numPr>
          <w:ilvl w:val="0"/>
          <w:numId w:val="2"/>
        </w:numPr>
        <w:spacing w:before="60" w:after="60"/>
      </w:pPr>
      <w:r>
        <w:rPr>
          <w:rFonts w:ascii="Arial" w:cs="Arial" w:eastAsia="Arial" w:hAnsi="Arial"/>
          <w:b w:val="false"/>
          <w:bCs w:val="false"/>
          <w:color w:val="222222"/>
          <w:sz w:val="22"/>
          <w:szCs w:val="22"/>
        </w:rPr>
        <w:t xml:space="preserve">Platform Conduct: Peer ratings and mentor observations of collaborative behaviour — respectful communication, fair contribution in team projects, constructive peer reviews.</w:t>
      </w:r>
    </w:p>
    <w:p>
      <w:pPr>
        <w:spacing w:before="40" w:after="40"/>
      </w:pPr>
      <w:r>
        <w:t xml:space="preserve"/>
      </w:r>
    </w:p>
    <w:p>
      <w:pPr>
        <w:spacing w:before="200" w:after="80"/>
      </w:pPr>
      <w:r>
        <w:rPr>
          <w:rFonts w:ascii="Arial" w:cs="Arial" w:eastAsia="Arial" w:hAnsi="Arial"/>
          <w:b/>
          <w:bCs/>
          <w:color w:val="0E7C60"/>
          <w:sz w:val="23"/>
          <w:szCs w:val="23"/>
        </w:rPr>
        <w:t xml:space="preserve">3.3.5 Learning Agility (10%)</w:t>
      </w:r>
    </w:p>
    <w:p>
      <w:pPr>
        <w:pStyle w:val="ListParagraph"/>
        <w:numPr>
          <w:ilvl w:val="0"/>
          <w:numId w:val="2"/>
        </w:numPr>
        <w:spacing w:before="60" w:after="60"/>
      </w:pPr>
      <w:r>
        <w:rPr>
          <w:rFonts w:ascii="Arial" w:cs="Arial" w:eastAsia="Arial" w:hAnsi="Arial"/>
          <w:b w:val="false"/>
          <w:bCs w:val="false"/>
          <w:color w:val="222222"/>
          <w:sz w:val="22"/>
          <w:szCs w:val="22"/>
        </w:rPr>
        <w:t xml:space="preserve">Skill Velocity: Rate at which the student is acquiring new skills and upgrading existing ones — measured as proficiency-level upgrades per quarter.</w:t>
      </w:r>
    </w:p>
    <w:p>
      <w:pPr>
        <w:pStyle w:val="ListParagraph"/>
        <w:numPr>
          <w:ilvl w:val="0"/>
          <w:numId w:val="2"/>
        </w:numPr>
        <w:spacing w:before="60" w:after="60"/>
      </w:pPr>
      <w:r>
        <w:rPr>
          <w:rFonts w:ascii="Arial" w:cs="Arial" w:eastAsia="Arial" w:hAnsi="Arial"/>
          <w:b w:val="false"/>
          <w:bCs w:val="false"/>
          <w:color w:val="222222"/>
          <w:sz w:val="22"/>
          <w:szCs w:val="22"/>
        </w:rPr>
        <w:t xml:space="preserve">Cross-Domain Exploration: Evidence that the student is learning skills adjacent to their core domain, signalling adaptability.</w:t>
      </w:r>
    </w:p>
    <w:p>
      <w:pPr>
        <w:pStyle w:val="ListParagraph"/>
        <w:numPr>
          <w:ilvl w:val="0"/>
          <w:numId w:val="2"/>
        </w:numPr>
        <w:spacing w:before="60" w:after="60"/>
      </w:pPr>
      <w:r>
        <w:rPr>
          <w:rFonts w:ascii="Arial" w:cs="Arial" w:eastAsia="Arial" w:hAnsi="Arial"/>
          <w:b w:val="false"/>
          <w:bCs w:val="false"/>
          <w:color w:val="222222"/>
          <w:sz w:val="22"/>
          <w:szCs w:val="22"/>
        </w:rPr>
        <w:t xml:space="preserve">Recovery Rate: How quickly a student's performance recovers after a low-scoring assessment or failed milestone — a measure of resilience and self-correction.</w:t>
      </w:r>
    </w:p>
    <w:p>
      <w:pPr>
        <w:pStyle w:val="ListParagraph"/>
        <w:numPr>
          <w:ilvl w:val="0"/>
          <w:numId w:val="2"/>
        </w:numPr>
        <w:spacing w:before="60" w:after="60"/>
      </w:pPr>
      <w:r>
        <w:rPr>
          <w:rFonts w:ascii="Arial" w:cs="Arial" w:eastAsia="Arial" w:hAnsi="Arial"/>
          <w:b w:val="false"/>
          <w:bCs w:val="false"/>
          <w:color w:val="222222"/>
          <w:sz w:val="22"/>
          <w:szCs w:val="22"/>
        </w:rPr>
        <w:t xml:space="preserve">Response to Difficulty: Whether the student seeks out increasingly difficult projects and assessments (growth-seeking) vs. staying in their comfort zone.</w:t>
      </w:r>
    </w:p>
    <w:p>
      <w:pPr>
        <w:spacing w:before="40" w:after="40"/>
      </w:pPr>
      <w:r>
        <w:t xml:space="preserve"/>
      </w:r>
    </w:p>
    <w:p>
      <w:pPr>
        <w:spacing w:before="200" w:after="80"/>
      </w:pPr>
      <w:r>
        <w:rPr>
          <w:rFonts w:ascii="Arial" w:cs="Arial" w:eastAsia="Arial" w:hAnsi="Arial"/>
          <w:b/>
          <w:bCs/>
          <w:color w:val="0E7C60"/>
          <w:sz w:val="23"/>
          <w:szCs w:val="23"/>
        </w:rPr>
        <w:t xml:space="preserve">3.3.6 Career Alignment (5%)</w:t>
      </w:r>
    </w:p>
    <w:p>
      <w:pPr>
        <w:pStyle w:val="ListParagraph"/>
        <w:numPr>
          <w:ilvl w:val="0"/>
          <w:numId w:val="2"/>
        </w:numPr>
        <w:spacing w:before="60" w:after="60"/>
      </w:pPr>
      <w:r>
        <w:rPr>
          <w:rFonts w:ascii="Arial" w:cs="Arial" w:eastAsia="Arial" w:hAnsi="Arial"/>
          <w:b w:val="false"/>
          <w:bCs w:val="false"/>
          <w:color w:val="222222"/>
          <w:sz w:val="22"/>
          <w:szCs w:val="22"/>
        </w:rPr>
        <w:t xml:space="preserve">Profile Completeness: How complete and up-to-date the student's career profile is (education, skills, projects, photo, resume).</w:t>
      </w:r>
    </w:p>
    <w:p>
      <w:pPr>
        <w:pStyle w:val="ListParagraph"/>
        <w:numPr>
          <w:ilvl w:val="0"/>
          <w:numId w:val="2"/>
        </w:numPr>
        <w:spacing w:before="60" w:after="60"/>
      </w:pPr>
      <w:r>
        <w:rPr>
          <w:rFonts w:ascii="Arial" w:cs="Arial" w:eastAsia="Arial" w:hAnsi="Arial"/>
          <w:b w:val="false"/>
          <w:bCs w:val="false"/>
          <w:color w:val="222222"/>
          <w:sz w:val="22"/>
          <w:szCs w:val="22"/>
        </w:rPr>
        <w:t xml:space="preserve">Active Job Seeking: Evidence of active, targeted job/internship applications in the target domain.</w:t>
      </w:r>
    </w:p>
    <w:p>
      <w:pPr>
        <w:pStyle w:val="ListParagraph"/>
        <w:numPr>
          <w:ilvl w:val="0"/>
          <w:numId w:val="2"/>
        </w:numPr>
        <w:spacing w:before="60" w:after="60"/>
      </w:pPr>
      <w:r>
        <w:rPr>
          <w:rFonts w:ascii="Arial" w:cs="Arial" w:eastAsia="Arial" w:hAnsi="Arial"/>
          <w:b w:val="false"/>
          <w:bCs w:val="false"/>
          <w:color w:val="222222"/>
          <w:sz w:val="22"/>
          <w:szCs w:val="22"/>
        </w:rPr>
        <w:t xml:space="preserve">Interview Preparation: Completion of mock interview modules, resume review sessions, and GD practice rounds.</w:t>
      </w:r>
    </w:p>
    <w:p>
      <w:pPr>
        <w:pStyle w:val="ListParagraph"/>
        <w:numPr>
          <w:ilvl w:val="0"/>
          <w:numId w:val="2"/>
        </w:numPr>
        <w:spacing w:before="60" w:after="60"/>
      </w:pPr>
      <w:r>
        <w:rPr>
          <w:rFonts w:ascii="Arial" w:cs="Arial" w:eastAsia="Arial" w:hAnsi="Arial"/>
          <w:b w:val="false"/>
          <w:bCs w:val="false"/>
          <w:color w:val="222222"/>
          <w:sz w:val="22"/>
          <w:szCs w:val="22"/>
        </w:rPr>
        <w:t xml:space="preserve">Career Goal Clarity: Students with clearly defined, specific career goals (role + domain + location preference) score higher than those with vague or undefined goals.</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3.4 CRS Score Bands &amp;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60"/>
        <w:gridCol w:w="2800"/>
      </w:tblGrid>
      <w:tr>
        <w:trPr>
          <w:tblHeader/>
        </w:trPr>
        <w:tc>
          <w:tcPr>
            <w:tcW w:type="dxa" w:w="16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CRS Range</w:t>
            </w:r>
          </w:p>
        </w:tc>
        <w:tc>
          <w:tcPr>
            <w:tcW w:type="dxa" w:w="22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Band Label</w:t>
            </w:r>
          </w:p>
        </w:tc>
        <w:tc>
          <w:tcPr>
            <w:tcW w:type="dxa" w:w="276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What It Means</w:t>
            </w:r>
          </w:p>
        </w:tc>
        <w:tc>
          <w:tcPr>
            <w:tcW w:type="dxa" w:w="28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Recommended Actions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85–100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Career Ready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Student is fully prepared for their target role; strong across all six pillars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Apply actively; focus on interview prep and offer negotiation</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70–84</w:t>
            </w:r>
          </w:p>
        </w:tc>
        <w:tc>
          <w:tcPr>
            <w:tcW w:type="dxa" w:w="2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Near Ready</w:t>
            </w:r>
          </w:p>
        </w:tc>
        <w:tc>
          <w:tcPr>
            <w:tcW w:type="dxa" w:w="2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Strong profile with minor gaps; ready for internships and early career roles</w:t>
            </w:r>
          </w:p>
        </w:tc>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Close top 2–3 skill gaps; complete portfolio; increase applications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55–69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Solid foundation with moderate gaps in 2+ pillars; needs structured effort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Follow recommended learning plan; take on 2 more projects; improve GD scores</w:t>
            </w:r>
          </w:p>
        </w:tc>
      </w:tr>
      <w:tr>
        <w:tc>
          <w:tcPr>
            <w:tcW w:type="dxa" w:w="16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40–54</w:t>
            </w:r>
          </w:p>
        </w:tc>
        <w:tc>
          <w:tcPr>
            <w:tcW w:type="dxa" w:w="2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Building</w:t>
            </w:r>
          </w:p>
        </w:tc>
        <w:tc>
          <w:tcPr>
            <w:tcW w:type="dxa" w:w="2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Early-stage profile; significant gaps in skills and/or experience</w:t>
            </w:r>
          </w:p>
        </w:tc>
        <w:tc>
          <w:tcPr>
            <w:tcW w:type="dxa" w:w="28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Prioritise foundational skills; complete first real project; establish learning routine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Below 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Getting Started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Profile is incomplete or very early; not yet ready for professional applications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Complete profile setup; take intro assessments; enrol in starter project</w:t>
            </w:r>
          </w:p>
        </w:tc>
      </w:tr>
    </w:tbl>
    <w:p>
      <w:pPr>
        <w:spacing w:before="40" w:after="40"/>
      </w:pPr>
      <w:r>
        <w:t xml:space="preserve"/>
      </w:r>
    </w:p>
    <w:p>
      <w:pPr>
        <w:pStyle w:val="Heading2"/>
        <w:spacing w:before="280" w:after="120"/>
      </w:pPr>
      <w:r>
        <w:rPr>
          <w:rFonts w:ascii="Arial" w:cs="Arial" w:eastAsia="Arial" w:hAnsi="Arial"/>
          <w:b/>
          <w:bCs/>
          <w:color w:val="1A73B8"/>
          <w:sz w:val="27"/>
          <w:szCs w:val="27"/>
        </w:rPr>
        <w:t xml:space="preserve">3.5 CRS Dashboard &amp; Display</w:t>
      </w:r>
    </w:p>
    <w:p>
      <w:pPr>
        <w:spacing w:before="200" w:after="80"/>
      </w:pPr>
      <w:r>
        <w:rPr>
          <w:rFonts w:ascii="Arial" w:cs="Arial" w:eastAsia="Arial" w:hAnsi="Arial"/>
          <w:b/>
          <w:bCs/>
          <w:color w:val="0E7C60"/>
          <w:sz w:val="23"/>
          <w:szCs w:val="23"/>
        </w:rPr>
        <w:t xml:space="preserve">3.5.1 Student-Facing CRS Dashboard</w:t>
      </w:r>
    </w:p>
    <w:p>
      <w:pPr>
        <w:pStyle w:val="ListParagraph"/>
        <w:numPr>
          <w:ilvl w:val="0"/>
          <w:numId w:val="2"/>
        </w:numPr>
        <w:spacing w:before="60" w:after="60"/>
      </w:pPr>
      <w:r>
        <w:rPr>
          <w:rFonts w:ascii="Arial" w:cs="Arial" w:eastAsia="Arial" w:hAnsi="Arial"/>
          <w:b w:val="false"/>
          <w:bCs w:val="false"/>
          <w:color w:val="222222"/>
          <w:sz w:val="22"/>
          <w:szCs w:val="22"/>
        </w:rPr>
        <w:t xml:space="preserve">Large circular gauge prominently displaying the current CRS with the band label and colour (Green for Career Ready, Teal for Near Ready, Amber for Developing, Orange for Building, Red for Getting Started).</w:t>
      </w:r>
    </w:p>
    <w:p>
      <w:pPr>
        <w:pStyle w:val="ListParagraph"/>
        <w:numPr>
          <w:ilvl w:val="0"/>
          <w:numId w:val="2"/>
        </w:numPr>
        <w:spacing w:before="60" w:after="60"/>
      </w:pPr>
      <w:r>
        <w:rPr>
          <w:rFonts w:ascii="Arial" w:cs="Arial" w:eastAsia="Arial" w:hAnsi="Arial"/>
          <w:b w:val="false"/>
          <w:bCs w:val="false"/>
          <w:color w:val="222222"/>
          <w:sz w:val="22"/>
          <w:szCs w:val="22"/>
        </w:rPr>
        <w:t xml:space="preserve">Six pillar score bars showing individual scores and their contribution to the total CRS.</w:t>
      </w:r>
    </w:p>
    <w:p>
      <w:pPr>
        <w:pStyle w:val="ListParagraph"/>
        <w:numPr>
          <w:ilvl w:val="0"/>
          <w:numId w:val="2"/>
        </w:numPr>
        <w:spacing w:before="60" w:after="60"/>
      </w:pPr>
      <w:r>
        <w:rPr>
          <w:rFonts w:ascii="Arial" w:cs="Arial" w:eastAsia="Arial" w:hAnsi="Arial"/>
          <w:b w:val="false"/>
          <w:bCs w:val="false"/>
          <w:color w:val="222222"/>
          <w:sz w:val="22"/>
          <w:szCs w:val="22"/>
        </w:rPr>
        <w:t xml:space="preserve">CRS trend line: How the overall score has changed over the last 6 months — showing the trajectory (rising, stable, declining).</w:t>
      </w:r>
    </w:p>
    <w:p>
      <w:pPr>
        <w:pStyle w:val="ListParagraph"/>
        <w:numPr>
          <w:ilvl w:val="0"/>
          <w:numId w:val="2"/>
        </w:numPr>
        <w:spacing w:before="60" w:after="60"/>
      </w:pPr>
      <w:r>
        <w:rPr>
          <w:rFonts w:ascii="Arial" w:cs="Arial" w:eastAsia="Arial" w:hAnsi="Arial"/>
          <w:b w:val="false"/>
          <w:bCs w:val="false"/>
          <w:color w:val="222222"/>
          <w:sz w:val="22"/>
          <w:szCs w:val="22"/>
        </w:rPr>
        <w:t xml:space="preserve">"What is keeping my score down" panel: The top 3 specific actions that would have the highest positive impact on the CRS if completed.</w:t>
      </w:r>
    </w:p>
    <w:p>
      <w:pPr>
        <w:pStyle w:val="ListParagraph"/>
        <w:numPr>
          <w:ilvl w:val="0"/>
          <w:numId w:val="2"/>
        </w:numPr>
        <w:spacing w:before="60" w:after="60"/>
      </w:pPr>
      <w:r>
        <w:rPr>
          <w:rFonts w:ascii="Arial" w:cs="Arial" w:eastAsia="Arial" w:hAnsi="Arial"/>
          <w:b w:val="false"/>
          <w:bCs w:val="false"/>
          <w:color w:val="222222"/>
          <w:sz w:val="22"/>
          <w:szCs w:val="22"/>
        </w:rPr>
        <w:t xml:space="preserve">CRS Simulator: Interactive tool allowing the student to see how their score would change if they completed specific activities (e.g., "If I complete the Advanced Python project, my CRS goes from 67 to 73").</w:t>
      </w:r>
    </w:p>
    <w:p>
      <w:pPr>
        <w:spacing w:before="40" w:after="40"/>
      </w:pPr>
      <w:r>
        <w:t xml:space="preserve"/>
      </w:r>
    </w:p>
    <w:p>
      <w:pPr>
        <w:spacing w:before="200" w:after="80"/>
      </w:pPr>
      <w:r>
        <w:rPr>
          <w:rFonts w:ascii="Arial" w:cs="Arial" w:eastAsia="Arial" w:hAnsi="Arial"/>
          <w:b/>
          <w:bCs/>
          <w:color w:val="0E7C60"/>
          <w:sz w:val="23"/>
          <w:szCs w:val="23"/>
        </w:rPr>
        <w:t xml:space="preserve">3.5.2 Institute &amp; Recruiter Views</w:t>
      </w:r>
    </w:p>
    <w:p>
      <w:pPr>
        <w:pStyle w:val="ListParagraph"/>
        <w:numPr>
          <w:ilvl w:val="0"/>
          <w:numId w:val="2"/>
        </w:numPr>
        <w:spacing w:before="60" w:after="60"/>
      </w:pPr>
      <w:r>
        <w:rPr>
          <w:rFonts w:ascii="Arial" w:cs="Arial" w:eastAsia="Arial" w:hAnsi="Arial"/>
          <w:b w:val="false"/>
          <w:bCs w:val="false"/>
          <w:color w:val="222222"/>
          <w:sz w:val="22"/>
          <w:szCs w:val="22"/>
        </w:rPr>
        <w:t xml:space="preserve">Institute View: Placement coordinators see CRS distribution across the batch as a histogram — identifying the proportion of students at each readiness band and how it has changed over the semester.</w:t>
      </w:r>
    </w:p>
    <w:p>
      <w:pPr>
        <w:pStyle w:val="ListParagraph"/>
        <w:numPr>
          <w:ilvl w:val="0"/>
          <w:numId w:val="2"/>
        </w:numPr>
        <w:spacing w:before="60" w:after="60"/>
      </w:pPr>
      <w:r>
        <w:rPr>
          <w:rFonts w:ascii="Arial" w:cs="Arial" w:eastAsia="Arial" w:hAnsi="Arial"/>
          <w:b w:val="false"/>
          <w:bCs w:val="false"/>
          <w:color w:val="222222"/>
          <w:sz w:val="22"/>
          <w:szCs w:val="22"/>
        </w:rPr>
        <w:t xml:space="preserve">CRS Threshold Filtering: Recruiters can filter applicants by minimum CRS in addition to Job Match Score — e.g., "Show only candidates with CRS &gt; 70 AND Job Match &gt; 65%" for a specific role.</w:t>
      </w:r>
    </w:p>
    <w:p>
      <w:pPr>
        <w:pStyle w:val="ListParagraph"/>
        <w:numPr>
          <w:ilvl w:val="0"/>
          <w:numId w:val="2"/>
        </w:numPr>
        <w:spacing w:before="60" w:after="60"/>
      </w:pPr>
      <w:r>
        <w:rPr>
          <w:rFonts w:ascii="Arial" w:cs="Arial" w:eastAsia="Arial" w:hAnsi="Arial"/>
          <w:b w:val="false"/>
          <w:bCs w:val="false"/>
          <w:color w:val="222222"/>
          <w:sz w:val="22"/>
          <w:szCs w:val="22"/>
        </w:rPr>
        <w:t xml:space="preserve">CRS is displayed as a verified metric on the student's portfolio and job application — with a QR code verification link that recruiters can scan to confirm it is platform-calculated, not self-reported.</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3.6 CRS Update Frequency &amp; Triggers</w:t>
      </w:r>
    </w:p>
    <w:p>
      <w:pPr>
        <w:pStyle w:val="ListParagraph"/>
        <w:numPr>
          <w:ilvl w:val="0"/>
          <w:numId w:val="2"/>
        </w:numPr>
        <w:spacing w:before="60" w:after="60"/>
      </w:pPr>
      <w:r>
        <w:rPr>
          <w:rFonts w:ascii="Arial" w:cs="Arial" w:eastAsia="Arial" w:hAnsi="Arial"/>
          <w:b w:val="false"/>
          <w:bCs w:val="false"/>
          <w:color w:val="222222"/>
          <w:sz w:val="22"/>
          <w:szCs w:val="22"/>
        </w:rPr>
        <w:t xml:space="preserve">Real-Time Micro-Updates: Small changes (e.g., completing a course module) update sub-scores immediately, but the published CRS is refreshed daily to prevent score volatility.</w:t>
      </w:r>
    </w:p>
    <w:p>
      <w:pPr>
        <w:pStyle w:val="ListParagraph"/>
        <w:numPr>
          <w:ilvl w:val="0"/>
          <w:numId w:val="2"/>
        </w:numPr>
        <w:spacing w:before="60" w:after="60"/>
      </w:pPr>
      <w:r>
        <w:rPr>
          <w:rFonts w:ascii="Arial" w:cs="Arial" w:eastAsia="Arial" w:hAnsi="Arial"/>
          <w:b w:val="false"/>
          <w:bCs w:val="false"/>
          <w:color w:val="222222"/>
          <w:sz w:val="22"/>
          <w:szCs w:val="22"/>
        </w:rPr>
        <w:t xml:space="preserve">Major Event Updates: Completing a project, passing an assessment, finishing an internship, or receiving a mentor evaluation triggers an immediate CRS recalculation and notification.</w:t>
      </w:r>
    </w:p>
    <w:p>
      <w:pPr>
        <w:pStyle w:val="ListParagraph"/>
        <w:numPr>
          <w:ilvl w:val="0"/>
          <w:numId w:val="2"/>
        </w:numPr>
        <w:spacing w:before="60" w:after="60"/>
      </w:pPr>
      <w:r>
        <w:rPr>
          <w:rFonts w:ascii="Arial" w:cs="Arial" w:eastAsia="Arial" w:hAnsi="Arial"/>
          <w:b w:val="false"/>
          <w:bCs w:val="false"/>
          <w:color w:val="222222"/>
          <w:sz w:val="22"/>
          <w:szCs w:val="22"/>
        </w:rPr>
        <w:t xml:space="preserve">Weekly CRS Summary: Every Monday, the student receives a CRS progress email showing the week's change, the top contributing event, and the single highest-impact next action.</w:t>
      </w:r>
    </w:p>
    <w:p>
      <w:pPr>
        <w:pStyle w:val="ListParagraph"/>
        <w:numPr>
          <w:ilvl w:val="0"/>
          <w:numId w:val="2"/>
        </w:numPr>
        <w:spacing w:before="60" w:after="60"/>
      </w:pPr>
      <w:r>
        <w:rPr>
          <w:rFonts w:ascii="Arial" w:cs="Arial" w:eastAsia="Arial" w:hAnsi="Arial"/>
          <w:b w:val="false"/>
          <w:bCs w:val="false"/>
          <w:color w:val="222222"/>
          <w:sz w:val="22"/>
          <w:szCs w:val="22"/>
        </w:rPr>
        <w:t xml:space="preserve">Semester Milestone Reports: At the end of each academic semester (or every 6 months for non-institute users), a comprehensive CRS progress report is generated and archived.</w:t>
      </w:r>
    </w:p>
    <w:p>
      <w:pPr>
        <w:spacing w:before="40" w:after="40"/>
      </w:pPr>
      <w:r>
        <w:t xml:space="preserve"/>
      </w:r>
    </w:p>
    <w:p>
      <w:pPr>
        <w:spacing w:before="40" w:after="40"/>
      </w:pPr>
      <w:r>
        <w:t xml:space="preserve"/>
      </w:r>
    </w:p>
    <w:p>
      <w:pPr>
        <w:pStyle w:val="Heading1"/>
        <w:pBdr>
          <w:bottom w:val="single" w:color="0B4F8A" w:sz="10" w:space="5"/>
        </w:pBdr>
        <w:spacing w:before="440" w:after="180"/>
      </w:pPr>
      <w:r>
        <w:rPr>
          <w:rFonts w:ascii="Arial" w:cs="Arial" w:eastAsia="Arial" w:hAnsi="Arial"/>
          <w:b/>
          <w:bCs/>
          <w:color w:val="0B4F8A"/>
          <w:sz w:val="36"/>
          <w:szCs w:val="36"/>
        </w:rPr>
        <w:t xml:space="preserve">Feature 4: Performance History</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4.1 Overview</w:t>
      </w:r>
    </w:p>
    <w:p>
      <w:pPr>
        <w:spacing w:before="80" w:after="80"/>
      </w:pPr>
      <w:r>
        <w:rPr>
          <w:rFonts w:ascii="Arial" w:cs="Arial" w:eastAsia="Arial" w:hAnsi="Arial"/>
          <w:color w:val="222222"/>
          <w:sz w:val="22"/>
          <w:szCs w:val="22"/>
        </w:rPr>
        <w:t xml:space="preserve">Performance History is the comprehensive, immutable, and chronological record of every measurable outcome a student has achieved on the EcoSkiller platform. It is the equivalent of an academic transcript — but far richer, more granular, and more credible because it captures not just grades but effort, growth, context, and verified third-party evaluations. Performance History serves as the permanent backbone of the student's credibility on the platform, underpinning the Skill Growth Reports, Learning Analytics, and Career Readiness Score with raw, auditable evidence.</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4.2 What Performance History Captures</w:t>
      </w:r>
    </w:p>
    <w:p>
      <w:pPr>
        <w:spacing w:before="80" w:after="80"/>
      </w:pPr>
      <w:r>
        <w:rPr>
          <w:rFonts w:ascii="Arial" w:cs="Arial" w:eastAsia="Arial" w:hAnsi="Arial"/>
          <w:color w:val="222222"/>
          <w:sz w:val="22"/>
          <w:szCs w:val="22"/>
        </w:rPr>
        <w:t xml:space="preserve">Performance History consolidates records from all performance-generating activities on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Performance Category</w:t>
            </w:r>
          </w:p>
        </w:tc>
        <w:tc>
          <w:tcPr>
            <w:tcW w:type="dxa" w:w="376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What Is Recorded</w:t>
            </w:r>
          </w:p>
        </w:tc>
        <w:tc>
          <w:tcPr>
            <w:tcW w:type="dxa" w:w="32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Retention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Assessment 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assessment attempt: date, score, time taken, question-level breakdown, pass/fail, retry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Permanent (all attempts)</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Project Evaluations</w:t>
            </w:r>
          </w:p>
        </w:tc>
        <w:tc>
          <w:tcPr>
            <w:tcW w:type="dxa" w:w="3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Project name, domain, duration, role, milestone scores, final mentor rating, submission quality, team contribution</w:t>
            </w:r>
          </w:p>
        </w:tc>
        <w:tc>
          <w:tcPr>
            <w:tcW w:type="dxa" w:w="3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Permanent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Course Completions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Course name, provider, completion date, final score, time to complete, certificate issued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Permanent</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GD Session Records</w:t>
            </w:r>
          </w:p>
        </w:tc>
        <w:tc>
          <w:tcPr>
            <w:tcW w:type="dxa" w:w="3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Session date, topic, participation score, communication rating, compliance score, comparative percentile</w:t>
            </w:r>
          </w:p>
        </w:tc>
        <w:tc>
          <w:tcPr>
            <w:tcW w:type="dxa" w:w="3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3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Mentor Evaluations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Mentor name (anonymised option), session dates, milestone feedback scores, summative evaluation, written endorsements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Permanent</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Internship Records</w:t>
            </w:r>
          </w:p>
        </w:tc>
        <w:tc>
          <w:tcPr>
            <w:tcW w:type="dxa" w:w="3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Company, duration, role, stipend status, completion confirmation, supervisor rating, PPO outcome</w:t>
            </w:r>
          </w:p>
        </w:tc>
        <w:tc>
          <w:tcPr>
            <w:tcW w:type="dxa" w:w="3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Permanent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Job Application Outcomes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Roles applied, shortlist rates, interview outcomes, offers received, offers accepted — aggregated, not disclosed individually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Permanent</w:t>
            </w:r>
          </w:p>
        </w:tc>
      </w:tr>
      <w:tr>
        <w:tc>
          <w:tcPr>
            <w:tcW w:type="dxa" w:w="24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Platform Conduct Events</w:t>
            </w:r>
          </w:p>
        </w:tc>
        <w:tc>
          <w:tcPr>
            <w:tcW w:type="dxa" w:w="37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Positive: badges earned, streak milestones, peer recognition. Negative: plagiarism flags, integrity violations, late withdrawals</w:t>
            </w:r>
          </w:p>
        </w:tc>
        <w:tc>
          <w:tcPr>
            <w:tcW w:type="dxa" w:w="32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Permanent (immutable)</w:t>
            </w:r>
          </w:p>
        </w:tc>
      </w:tr>
    </w:tbl>
    <w:p>
      <w:pPr>
        <w:spacing w:before="40" w:after="40"/>
      </w:pPr>
      <w:r>
        <w:t xml:space="preserve"/>
      </w:r>
    </w:p>
    <w:p>
      <w:pPr>
        <w:pStyle w:val="Heading2"/>
        <w:spacing w:before="280" w:after="120"/>
      </w:pPr>
      <w:r>
        <w:rPr>
          <w:rFonts w:ascii="Arial" w:cs="Arial" w:eastAsia="Arial" w:hAnsi="Arial"/>
          <w:b/>
          <w:bCs/>
          <w:color w:val="1A73B8"/>
          <w:sz w:val="27"/>
          <w:szCs w:val="27"/>
        </w:rPr>
        <w:t xml:space="preserve">4.3 Performance History Interface</w:t>
      </w:r>
    </w:p>
    <w:p>
      <w:pPr>
        <w:spacing w:before="200" w:after="80"/>
      </w:pPr>
      <w:r>
        <w:rPr>
          <w:rFonts w:ascii="Arial" w:cs="Arial" w:eastAsia="Arial" w:hAnsi="Arial"/>
          <w:b/>
          <w:bCs/>
          <w:color w:val="0E7C60"/>
          <w:sz w:val="23"/>
          <w:szCs w:val="23"/>
        </w:rPr>
        <w:t xml:space="preserve">4.3.1 Master Performance Timeline</w:t>
      </w:r>
    </w:p>
    <w:p>
      <w:pPr>
        <w:spacing w:before="80" w:after="80"/>
      </w:pPr>
      <w:r>
        <w:rPr>
          <w:rFonts w:ascii="Arial" w:cs="Arial" w:eastAsia="Arial" w:hAnsi="Arial"/>
          <w:color w:val="222222"/>
          <w:sz w:val="22"/>
          <w:szCs w:val="22"/>
        </w:rPr>
        <w:t xml:space="preserve">The central interface is a scrollable, searchable chronological timeline of all performance events:</w:t>
      </w:r>
    </w:p>
    <w:p>
      <w:pPr>
        <w:pStyle w:val="ListParagraph"/>
        <w:numPr>
          <w:ilvl w:val="0"/>
          <w:numId w:val="2"/>
        </w:numPr>
        <w:spacing w:before="60" w:after="60"/>
      </w:pPr>
      <w:r>
        <w:rPr>
          <w:rFonts w:ascii="Arial" w:cs="Arial" w:eastAsia="Arial" w:hAnsi="Arial"/>
          <w:b w:val="false"/>
          <w:bCs w:val="false"/>
          <w:color w:val="222222"/>
          <w:sz w:val="22"/>
          <w:szCs w:val="22"/>
        </w:rPr>
        <w:t xml:space="preserve">Each event displayed as a timeline card showing: date, activity type icon, title, outcome (score/rating/pass), and a brief contextual note.</w:t>
      </w:r>
    </w:p>
    <w:p>
      <w:pPr>
        <w:pStyle w:val="ListParagraph"/>
        <w:numPr>
          <w:ilvl w:val="0"/>
          <w:numId w:val="2"/>
        </w:numPr>
        <w:spacing w:before="60" w:after="60"/>
      </w:pPr>
      <w:r>
        <w:rPr>
          <w:rFonts w:ascii="Arial" w:cs="Arial" w:eastAsia="Arial" w:hAnsi="Arial"/>
          <w:b w:val="false"/>
          <w:bCs w:val="false"/>
          <w:color w:val="222222"/>
          <w:sz w:val="22"/>
          <w:szCs w:val="22"/>
        </w:rPr>
        <w:t xml:space="preserve">Filter by activity type: Show only assessments, or only projects, or only mentor evaluations — or any combination.</w:t>
      </w:r>
    </w:p>
    <w:p>
      <w:pPr>
        <w:pStyle w:val="ListParagraph"/>
        <w:numPr>
          <w:ilvl w:val="0"/>
          <w:numId w:val="2"/>
        </w:numPr>
        <w:spacing w:before="60" w:after="60"/>
      </w:pPr>
      <w:r>
        <w:rPr>
          <w:rFonts w:ascii="Arial" w:cs="Arial" w:eastAsia="Arial" w:hAnsi="Arial"/>
          <w:b w:val="false"/>
          <w:bCs w:val="false"/>
          <w:color w:val="222222"/>
          <w:sz w:val="22"/>
          <w:szCs w:val="22"/>
        </w:rPr>
        <w:t xml:space="preserve">Search by keyword: Find all records related to a specific skill (e.g., "Python"), company (e.g., "TCS"), or time period (e.g., "January 2025").</w:t>
      </w:r>
    </w:p>
    <w:p>
      <w:pPr>
        <w:pStyle w:val="ListParagraph"/>
        <w:numPr>
          <w:ilvl w:val="0"/>
          <w:numId w:val="2"/>
        </w:numPr>
        <w:spacing w:before="60" w:after="60"/>
      </w:pPr>
      <w:r>
        <w:rPr>
          <w:rFonts w:ascii="Arial" w:cs="Arial" w:eastAsia="Arial" w:hAnsi="Arial"/>
          <w:b w:val="false"/>
          <w:bCs w:val="false"/>
          <w:color w:val="222222"/>
          <w:sz w:val="22"/>
          <w:szCs w:val="22"/>
        </w:rPr>
        <w:t xml:space="preserve">Export filtered history as PDF — suitable for submitting to institute placement offices or appending to formal job applications.</w:t>
      </w:r>
    </w:p>
    <w:p>
      <w:pPr>
        <w:spacing w:before="40" w:after="40"/>
      </w:pPr>
      <w:r>
        <w:t xml:space="preserve"/>
      </w:r>
    </w:p>
    <w:p>
      <w:pPr>
        <w:spacing w:before="200" w:after="80"/>
      </w:pPr>
      <w:r>
        <w:rPr>
          <w:rFonts w:ascii="Arial" w:cs="Arial" w:eastAsia="Arial" w:hAnsi="Arial"/>
          <w:b/>
          <w:bCs/>
          <w:color w:val="0E7C60"/>
          <w:sz w:val="23"/>
          <w:szCs w:val="23"/>
        </w:rPr>
        <w:t xml:space="preserve">4.3.2 Assessment History Deep View</w:t>
      </w:r>
    </w:p>
    <w:p>
      <w:pPr>
        <w:spacing w:before="80" w:after="80"/>
      </w:pPr>
      <w:r>
        <w:rPr>
          <w:rFonts w:ascii="Arial" w:cs="Arial" w:eastAsia="Arial" w:hAnsi="Arial"/>
          <w:color w:val="222222"/>
          <w:sz w:val="22"/>
          <w:szCs w:val="22"/>
        </w:rPr>
        <w:t xml:space="preserve">A dedicated section for the complete assessment record:</w:t>
      </w:r>
    </w:p>
    <w:p>
      <w:pPr>
        <w:pStyle w:val="ListParagraph"/>
        <w:numPr>
          <w:ilvl w:val="0"/>
          <w:numId w:val="2"/>
        </w:numPr>
        <w:spacing w:before="60" w:after="60"/>
      </w:pPr>
      <w:r>
        <w:rPr>
          <w:rFonts w:ascii="Arial" w:cs="Arial" w:eastAsia="Arial" w:hAnsi="Arial"/>
          <w:b w:val="false"/>
          <w:bCs w:val="false"/>
          <w:color w:val="222222"/>
          <w:sz w:val="22"/>
          <w:szCs w:val="22"/>
        </w:rPr>
        <w:t xml:space="preserve">Full list of all assessments taken, sortable by date, subject, score, or number of attempts.</w:t>
      </w:r>
    </w:p>
    <w:p>
      <w:pPr>
        <w:pStyle w:val="ListParagraph"/>
        <w:numPr>
          <w:ilvl w:val="0"/>
          <w:numId w:val="2"/>
        </w:numPr>
        <w:spacing w:before="60" w:after="60"/>
      </w:pPr>
      <w:r>
        <w:rPr>
          <w:rFonts w:ascii="Arial" w:cs="Arial" w:eastAsia="Arial" w:hAnsi="Arial"/>
          <w:b w:val="false"/>
          <w:bCs w:val="false"/>
          <w:color w:val="222222"/>
          <w:sz w:val="22"/>
          <w:szCs w:val="22"/>
        </w:rPr>
        <w:t xml:space="preserve">For each assessment: Score breakdown by section/topic, time taken vs. average, percentile rank among all test-takers on that assessment, and improvement across attempts.</w:t>
      </w:r>
    </w:p>
    <w:p>
      <w:pPr>
        <w:pStyle w:val="ListParagraph"/>
        <w:numPr>
          <w:ilvl w:val="0"/>
          <w:numId w:val="2"/>
        </w:numPr>
        <w:spacing w:before="60" w:after="60"/>
      </w:pPr>
      <w:r>
        <w:rPr>
          <w:rFonts w:ascii="Arial" w:cs="Arial" w:eastAsia="Arial" w:hAnsi="Arial"/>
          <w:b w:val="false"/>
          <w:bCs w:val="false"/>
          <w:color w:val="222222"/>
          <w:sz w:val="22"/>
          <w:szCs w:val="22"/>
        </w:rPr>
        <w:t xml:space="preserve">Best Score vs. Most Recent Score displayed side by side — showing whether the student is maintaining or declining from their peak.</w:t>
      </w:r>
    </w:p>
    <w:p>
      <w:pPr>
        <w:pStyle w:val="ListParagraph"/>
        <w:numPr>
          <w:ilvl w:val="0"/>
          <w:numId w:val="2"/>
        </w:numPr>
        <w:spacing w:before="60" w:after="60"/>
      </w:pPr>
      <w:r>
        <w:rPr>
          <w:rFonts w:ascii="Arial" w:cs="Arial" w:eastAsia="Arial" w:hAnsi="Arial"/>
          <w:b w:val="false"/>
          <w:bCs w:val="false"/>
          <w:color w:val="222222"/>
          <w:sz w:val="22"/>
          <w:szCs w:val="22"/>
        </w:rPr>
        <w:t xml:space="preserve">Weakness Spotlight: Automatically identified concept areas where the student has consistently scored below 60% across multiple attempts, with targeted resource links.</w:t>
      </w:r>
    </w:p>
    <w:p>
      <w:pPr>
        <w:pStyle w:val="ListParagraph"/>
        <w:numPr>
          <w:ilvl w:val="0"/>
          <w:numId w:val="2"/>
        </w:numPr>
        <w:spacing w:before="60" w:after="60"/>
      </w:pPr>
      <w:r>
        <w:rPr>
          <w:rFonts w:ascii="Arial" w:cs="Arial" w:eastAsia="Arial" w:hAnsi="Arial"/>
          <w:b w:val="false"/>
          <w:bCs w:val="false"/>
          <w:color w:val="222222"/>
          <w:sz w:val="22"/>
          <w:szCs w:val="22"/>
        </w:rPr>
        <w:t xml:space="preserve">Assessment Integrity Log: Records any flagged incidents (browser switching, time anomalies) with resolution status — transparent to the student, visible to institutes.</w:t>
      </w:r>
    </w:p>
    <w:p>
      <w:pPr>
        <w:spacing w:before="40" w:after="40"/>
      </w:pPr>
      <w:r>
        <w:t xml:space="preserve"/>
      </w:r>
    </w:p>
    <w:p>
      <w:pPr>
        <w:spacing w:before="200" w:after="80"/>
      </w:pPr>
      <w:r>
        <w:rPr>
          <w:rFonts w:ascii="Arial" w:cs="Arial" w:eastAsia="Arial" w:hAnsi="Arial"/>
          <w:b/>
          <w:bCs/>
          <w:color w:val="0E7C60"/>
          <w:sz w:val="23"/>
          <w:szCs w:val="23"/>
        </w:rPr>
        <w:t xml:space="preserve">4.3.3 Project Performance Record</w:t>
      </w:r>
    </w:p>
    <w:p>
      <w:pPr>
        <w:spacing w:before="80" w:after="80"/>
      </w:pPr>
      <w:r>
        <w:rPr>
          <w:rFonts w:ascii="Arial" w:cs="Arial" w:eastAsia="Arial" w:hAnsi="Arial"/>
          <w:color w:val="222222"/>
          <w:sz w:val="22"/>
          <w:szCs w:val="22"/>
        </w:rPr>
        <w:t xml:space="preserve">A portfolio-style archive of every project ever started or completed:</w:t>
      </w:r>
    </w:p>
    <w:p>
      <w:pPr>
        <w:pStyle w:val="ListParagraph"/>
        <w:numPr>
          <w:ilvl w:val="0"/>
          <w:numId w:val="2"/>
        </w:numPr>
        <w:spacing w:before="60" w:after="60"/>
      </w:pPr>
      <w:r>
        <w:rPr>
          <w:rFonts w:ascii="Arial" w:cs="Arial" w:eastAsia="Arial" w:hAnsi="Arial"/>
          <w:b w:val="false"/>
          <w:bCs w:val="false"/>
          <w:color w:val="222222"/>
          <w:sz w:val="22"/>
          <w:szCs w:val="22"/>
        </w:rPr>
        <w:t xml:space="preserve">Projects displayed as cards with: project name, company/institute, duration, role, status (Completed/In Progress/Abandoned), and final score.</w:t>
      </w:r>
    </w:p>
    <w:p>
      <w:pPr>
        <w:pStyle w:val="ListParagraph"/>
        <w:numPr>
          <w:ilvl w:val="0"/>
          <w:numId w:val="2"/>
        </w:numPr>
        <w:spacing w:before="60" w:after="60"/>
      </w:pPr>
      <w:r>
        <w:rPr>
          <w:rFonts w:ascii="Arial" w:cs="Arial" w:eastAsia="Arial" w:hAnsi="Arial"/>
          <w:b w:val="false"/>
          <w:bCs w:val="false"/>
          <w:color w:val="222222"/>
          <w:sz w:val="22"/>
          <w:szCs w:val="22"/>
        </w:rPr>
        <w:t xml:space="preserve">Clicking any project opens the full performance breakdown: milestone-by-milestone scores, mentor written feedback, submission documents (with access controlled by project NDA settings), team contribution analysis, and final rating.</w:t>
      </w:r>
    </w:p>
    <w:p>
      <w:pPr>
        <w:pStyle w:val="ListParagraph"/>
        <w:numPr>
          <w:ilvl w:val="0"/>
          <w:numId w:val="2"/>
        </w:numPr>
        <w:spacing w:before="60" w:after="60"/>
      </w:pPr>
      <w:r>
        <w:rPr>
          <w:rFonts w:ascii="Arial" w:cs="Arial" w:eastAsia="Arial" w:hAnsi="Arial"/>
          <w:b w:val="false"/>
          <w:bCs w:val="false"/>
          <w:color w:val="222222"/>
          <w:sz w:val="22"/>
          <w:szCs w:val="22"/>
        </w:rPr>
        <w:t xml:space="preserve">Abandoned Projects section: Projects that were started but not completed are recorded separately. Voluntary withdrawals are distinguished from removals due to inactivity. Abandonment rate is visible to the student but not to recruiters unless the student makes it public.</w:t>
      </w:r>
    </w:p>
    <w:p>
      <w:pPr>
        <w:pStyle w:val="ListParagraph"/>
        <w:numPr>
          <w:ilvl w:val="0"/>
          <w:numId w:val="2"/>
        </w:numPr>
        <w:spacing w:before="60" w:after="60"/>
      </w:pPr>
      <w:r>
        <w:rPr>
          <w:rFonts w:ascii="Arial" w:cs="Arial" w:eastAsia="Arial" w:hAnsi="Arial"/>
          <w:b w:val="false"/>
          <w:bCs w:val="false"/>
          <w:color w:val="222222"/>
          <w:sz w:val="22"/>
          <w:szCs w:val="22"/>
        </w:rPr>
        <w:t xml:space="preserve">Comparative Performance: For each completed project, the student can see where their final score placed them among all students who completed the same project (anonymous percentile).</w:t>
      </w:r>
    </w:p>
    <w:p>
      <w:pPr>
        <w:spacing w:before="40" w:after="40"/>
      </w:pPr>
      <w:r>
        <w:t xml:space="preserve"/>
      </w:r>
    </w:p>
    <w:p>
      <w:pPr>
        <w:spacing w:before="200" w:after="80"/>
      </w:pPr>
      <w:r>
        <w:rPr>
          <w:rFonts w:ascii="Arial" w:cs="Arial" w:eastAsia="Arial" w:hAnsi="Arial"/>
          <w:b/>
          <w:bCs/>
          <w:color w:val="0E7C60"/>
          <w:sz w:val="23"/>
          <w:szCs w:val="23"/>
        </w:rPr>
        <w:t xml:space="preserve">4.3.4 Mentor Evaluation Archive</w:t>
      </w:r>
    </w:p>
    <w:p>
      <w:pPr>
        <w:spacing w:before="80" w:after="80"/>
      </w:pPr>
      <w:r>
        <w:rPr>
          <w:rFonts w:ascii="Arial" w:cs="Arial" w:eastAsia="Arial" w:hAnsi="Arial"/>
          <w:color w:val="222222"/>
          <w:sz w:val="22"/>
          <w:szCs w:val="22"/>
        </w:rPr>
        <w:t xml:space="preserve">A complete archive of all mentor interactions and evaluations:</w:t>
      </w:r>
    </w:p>
    <w:p>
      <w:pPr>
        <w:pStyle w:val="ListParagraph"/>
        <w:numPr>
          <w:ilvl w:val="0"/>
          <w:numId w:val="2"/>
        </w:numPr>
        <w:spacing w:before="60" w:after="60"/>
      </w:pPr>
      <w:r>
        <w:rPr>
          <w:rFonts w:ascii="Arial" w:cs="Arial" w:eastAsia="Arial" w:hAnsi="Arial"/>
          <w:b w:val="false"/>
          <w:bCs w:val="false"/>
          <w:color w:val="222222"/>
          <w:sz w:val="22"/>
          <w:szCs w:val="22"/>
        </w:rPr>
        <w:t xml:space="preserve">Chronological log of all sessions: Date, mentor type (platform/SME/institute), session duration, topic, and the mentor's session rating of the student.</w:t>
      </w:r>
    </w:p>
    <w:p>
      <w:pPr>
        <w:pStyle w:val="ListParagraph"/>
        <w:numPr>
          <w:ilvl w:val="0"/>
          <w:numId w:val="2"/>
        </w:numPr>
        <w:spacing w:before="60" w:after="60"/>
      </w:pPr>
      <w:r>
        <w:rPr>
          <w:rFonts w:ascii="Arial" w:cs="Arial" w:eastAsia="Arial" w:hAnsi="Arial"/>
          <w:b w:val="false"/>
          <w:bCs w:val="false"/>
          <w:color w:val="222222"/>
          <w:sz w:val="22"/>
          <w:szCs w:val="22"/>
        </w:rPr>
        <w:t xml:space="preserve">Milestone feedback records: All written mentor feedback organised by project and milestone — fully searchable and permanently stored.</w:t>
      </w:r>
    </w:p>
    <w:p>
      <w:pPr>
        <w:pStyle w:val="ListParagraph"/>
        <w:numPr>
          <w:ilvl w:val="0"/>
          <w:numId w:val="2"/>
        </w:numPr>
        <w:spacing w:before="60" w:after="60"/>
      </w:pPr>
      <w:r>
        <w:rPr>
          <w:rFonts w:ascii="Arial" w:cs="Arial" w:eastAsia="Arial" w:hAnsi="Arial"/>
          <w:b w:val="false"/>
          <w:bCs w:val="false"/>
          <w:color w:val="222222"/>
          <w:sz w:val="22"/>
          <w:szCs w:val="22"/>
        </w:rPr>
        <w:t xml:space="preserve">Summative evaluation reports: Final project evaluations with dimension-level scores and written assessments.</w:t>
      </w:r>
    </w:p>
    <w:p>
      <w:pPr>
        <w:pStyle w:val="ListParagraph"/>
        <w:numPr>
          <w:ilvl w:val="0"/>
          <w:numId w:val="2"/>
        </w:numPr>
        <w:spacing w:before="60" w:after="60"/>
      </w:pPr>
      <w:r>
        <w:rPr>
          <w:rFonts w:ascii="Arial" w:cs="Arial" w:eastAsia="Arial" w:hAnsi="Arial"/>
          <w:b w:val="false"/>
          <w:bCs w:val="false"/>
          <w:color w:val="222222"/>
          <w:sz w:val="22"/>
          <w:szCs w:val="22"/>
        </w:rPr>
        <w:t xml:space="preserve">Endorsement Collection: A gallery of all mentor-written endorsements, flagged as either public (visible on portfolio) or private (visible only to student and institutes).</w:t>
      </w:r>
    </w:p>
    <w:p>
      <w:pPr>
        <w:pStyle w:val="ListParagraph"/>
        <w:numPr>
          <w:ilvl w:val="0"/>
          <w:numId w:val="2"/>
        </w:numPr>
        <w:spacing w:before="60" w:after="60"/>
      </w:pPr>
      <w:r>
        <w:rPr>
          <w:rFonts w:ascii="Arial" w:cs="Arial" w:eastAsia="Arial" w:hAnsi="Arial"/>
          <w:b w:val="false"/>
          <w:bCs w:val="false"/>
          <w:color w:val="222222"/>
          <w:sz w:val="22"/>
          <w:szCs w:val="22"/>
        </w:rPr>
        <w:t xml:space="preserve">Mentor Feedback Sentiment Trend: AI analysis of the tone and content of mentor feedback over time — showing whether feedback is becoming more positive (growth signal) or more critical (intervention signal).</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4.4 Performance Integrity &amp; Immutability</w:t>
      </w:r>
    </w:p>
    <w:p>
      <w:pPr>
        <w:spacing w:before="80" w:after="80"/>
      </w:pPr>
      <w:r>
        <w:rPr>
          <w:rFonts w:ascii="Arial" w:cs="Arial" w:eastAsia="Arial" w:hAnsi="Arial"/>
          <w:color w:val="222222"/>
          <w:sz w:val="22"/>
          <w:szCs w:val="22"/>
        </w:rPr>
        <w:t xml:space="preserve">A defining feature of EcoSkiller's Performance History is its trust architecture:</w:t>
      </w:r>
    </w:p>
    <w:p>
      <w:pPr>
        <w:pStyle w:val="ListParagraph"/>
        <w:numPr>
          <w:ilvl w:val="0"/>
          <w:numId w:val="2"/>
        </w:numPr>
        <w:spacing w:before="60" w:after="60"/>
      </w:pPr>
      <w:r>
        <w:rPr>
          <w:rFonts w:ascii="Arial" w:cs="Arial" w:eastAsia="Arial" w:hAnsi="Arial"/>
          <w:b w:val="false"/>
          <w:bCs w:val="false"/>
          <w:color w:val="222222"/>
          <w:sz w:val="22"/>
          <w:szCs w:val="22"/>
        </w:rPr>
        <w:t xml:space="preserve">All records are write-once: Once a score is recorded or a mentor submits an evaluation, it cannot be modified by the student, the mentor, or the platform without a formal dispute resolution process leaving a visible audit trail.</w:t>
      </w:r>
    </w:p>
    <w:p>
      <w:pPr>
        <w:pStyle w:val="ListParagraph"/>
        <w:numPr>
          <w:ilvl w:val="0"/>
          <w:numId w:val="2"/>
        </w:numPr>
        <w:spacing w:before="60" w:after="60"/>
      </w:pPr>
      <w:r>
        <w:rPr>
          <w:rFonts w:ascii="Arial" w:cs="Arial" w:eastAsia="Arial" w:hAnsi="Arial"/>
          <w:b w:val="false"/>
          <w:bCs w:val="false"/>
          <w:color w:val="222222"/>
          <w:sz w:val="22"/>
          <w:szCs w:val="22"/>
        </w:rPr>
        <w:t xml:space="preserve">Dispute Resolution: Students may raise a dispute on a specific record within 14 days of it being logged. Disputes are reviewed by a platform moderator and resolved with a documented decision appended to the original record — the original record is never deleted or overwritten.</w:t>
      </w:r>
    </w:p>
    <w:p>
      <w:pPr>
        <w:pStyle w:val="ListParagraph"/>
        <w:numPr>
          <w:ilvl w:val="0"/>
          <w:numId w:val="2"/>
        </w:numPr>
        <w:spacing w:before="60" w:after="60"/>
      </w:pPr>
      <w:r>
        <w:rPr>
          <w:rFonts w:ascii="Arial" w:cs="Arial" w:eastAsia="Arial" w:hAnsi="Arial"/>
          <w:b w:val="false"/>
          <w:bCs w:val="false"/>
          <w:color w:val="222222"/>
          <w:sz w:val="22"/>
          <w:szCs w:val="22"/>
        </w:rPr>
        <w:t xml:space="preserve">Hash-Anchored Records: Critical performance events (assessment completions, project final scores, internship completions) are hash-anchored on submission — creating a verifiable chain of evidence against tampering.</w:t>
      </w:r>
    </w:p>
    <w:p>
      <w:pPr>
        <w:pStyle w:val="ListParagraph"/>
        <w:numPr>
          <w:ilvl w:val="0"/>
          <w:numId w:val="2"/>
        </w:numPr>
        <w:spacing w:before="60" w:after="60"/>
      </w:pPr>
      <w:r>
        <w:rPr>
          <w:rFonts w:ascii="Arial" w:cs="Arial" w:eastAsia="Arial" w:hAnsi="Arial"/>
          <w:b w:val="false"/>
          <w:bCs w:val="false"/>
          <w:color w:val="222222"/>
          <w:sz w:val="22"/>
          <w:szCs w:val="22"/>
        </w:rPr>
        <w:t xml:space="preserve">Verification QR Code: Any performance record can generate a unique QR code that recruiters or institutes can scan to verify the record is authentic and untampered.</w:t>
      </w:r>
    </w:p>
    <w:p>
      <w:pPr>
        <w:pStyle w:val="ListParagraph"/>
        <w:numPr>
          <w:ilvl w:val="0"/>
          <w:numId w:val="2"/>
        </w:numPr>
        <w:spacing w:before="60" w:after="60"/>
      </w:pPr>
      <w:r>
        <w:rPr>
          <w:rFonts w:ascii="Arial" w:cs="Arial" w:eastAsia="Arial" w:hAnsi="Arial"/>
          <w:b w:val="false"/>
          <w:bCs w:val="false"/>
          <w:color w:val="222222"/>
          <w:sz w:val="22"/>
          <w:szCs w:val="22"/>
        </w:rPr>
        <w:t xml:space="preserve">Third-Party Audit Support: Institutes and accreditation bodies can request a formal audit report of a student's performance history — formatted to meet academic and professional verification standards.</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4.5 Performance History Analytics</w:t>
      </w:r>
    </w:p>
    <w:p>
      <w:pPr>
        <w:spacing w:before="200" w:after="80"/>
      </w:pPr>
      <w:r>
        <w:rPr>
          <w:rFonts w:ascii="Arial" w:cs="Arial" w:eastAsia="Arial" w:hAnsi="Arial"/>
          <w:b/>
          <w:bCs/>
          <w:color w:val="0E7C60"/>
          <w:sz w:val="23"/>
          <w:szCs w:val="23"/>
        </w:rPr>
        <w:t xml:space="preserve">4.5.1 Personal Performance Dashboard</w:t>
      </w:r>
    </w:p>
    <w:p>
      <w:pPr>
        <w:pStyle w:val="ListParagraph"/>
        <w:numPr>
          <w:ilvl w:val="0"/>
          <w:numId w:val="2"/>
        </w:numPr>
        <w:spacing w:before="60" w:after="60"/>
      </w:pPr>
      <w:r>
        <w:rPr>
          <w:rFonts w:ascii="Arial" w:cs="Arial" w:eastAsia="Arial" w:hAnsi="Arial"/>
          <w:b w:val="false"/>
          <w:bCs w:val="false"/>
          <w:color w:val="222222"/>
          <w:sz w:val="22"/>
          <w:szCs w:val="22"/>
        </w:rPr>
        <w:t xml:space="preserve">Overall Performance Index: A composite score aggregating the student's average assessment scores, project ratings, and mentor evaluations — normalised to a 0–100 scale.</w:t>
      </w:r>
    </w:p>
    <w:p>
      <w:pPr>
        <w:pStyle w:val="ListParagraph"/>
        <w:numPr>
          <w:ilvl w:val="0"/>
          <w:numId w:val="2"/>
        </w:numPr>
        <w:spacing w:before="60" w:after="60"/>
      </w:pPr>
      <w:r>
        <w:rPr>
          <w:rFonts w:ascii="Arial" w:cs="Arial" w:eastAsia="Arial" w:hAnsi="Arial"/>
          <w:b w:val="false"/>
          <w:bCs w:val="false"/>
          <w:color w:val="222222"/>
          <w:sz w:val="22"/>
          <w:szCs w:val="22"/>
        </w:rPr>
        <w:t xml:space="preserve">Best Performance Period: Identifies the calendar period (month or quarter) when the student's performance metrics were highest — with contextual notes on what activities drove that peak.</w:t>
      </w:r>
    </w:p>
    <w:p>
      <w:pPr>
        <w:pStyle w:val="ListParagraph"/>
        <w:numPr>
          <w:ilvl w:val="0"/>
          <w:numId w:val="2"/>
        </w:numPr>
        <w:spacing w:before="60" w:after="60"/>
      </w:pPr>
      <w:r>
        <w:rPr>
          <w:rFonts w:ascii="Arial" w:cs="Arial" w:eastAsia="Arial" w:hAnsi="Arial"/>
          <w:b w:val="false"/>
          <w:bCs w:val="false"/>
          <w:color w:val="222222"/>
          <w:sz w:val="22"/>
          <w:szCs w:val="22"/>
        </w:rPr>
        <w:t xml:space="preserve">Performance Consistency Score: Measures variance in performance across similar activities — a consistent performer scores higher than one with extreme highs and lows, as consistency is a stronger predictor of professional reliability.</w:t>
      </w:r>
    </w:p>
    <w:p>
      <w:pPr>
        <w:pStyle w:val="ListParagraph"/>
        <w:numPr>
          <w:ilvl w:val="0"/>
          <w:numId w:val="2"/>
        </w:numPr>
        <w:spacing w:before="60" w:after="60"/>
      </w:pPr>
      <w:r>
        <w:rPr>
          <w:rFonts w:ascii="Arial" w:cs="Arial" w:eastAsia="Arial" w:hAnsi="Arial"/>
          <w:b w:val="false"/>
          <w:bCs w:val="false"/>
          <w:color w:val="222222"/>
          <w:sz w:val="22"/>
          <w:szCs w:val="22"/>
        </w:rPr>
        <w:t xml:space="preserve">Top 3 Strongest Activities: The three activity types (e.g., "Data Science Projects", "Python Assessments", "Communication in GDs") where the student consistently outperforms their own average.</w:t>
      </w:r>
    </w:p>
    <w:p>
      <w:pPr>
        <w:spacing w:before="40" w:after="40"/>
      </w:pPr>
      <w:r>
        <w:t xml:space="preserve"/>
      </w:r>
    </w:p>
    <w:p>
      <w:pPr>
        <w:spacing w:before="200" w:after="80"/>
      </w:pPr>
      <w:r>
        <w:rPr>
          <w:rFonts w:ascii="Arial" w:cs="Arial" w:eastAsia="Arial" w:hAnsi="Arial"/>
          <w:b/>
          <w:bCs/>
          <w:color w:val="0E7C60"/>
          <w:sz w:val="23"/>
          <w:szCs w:val="23"/>
        </w:rPr>
        <w:t xml:space="preserve">4.5.2 Longitudinal Trend Analysis</w:t>
      </w:r>
    </w:p>
    <w:p>
      <w:pPr>
        <w:pStyle w:val="ListParagraph"/>
        <w:numPr>
          <w:ilvl w:val="0"/>
          <w:numId w:val="2"/>
        </w:numPr>
        <w:spacing w:before="60" w:after="60"/>
      </w:pPr>
      <w:r>
        <w:rPr>
          <w:rFonts w:ascii="Arial" w:cs="Arial" w:eastAsia="Arial" w:hAnsi="Arial"/>
          <w:b w:val="false"/>
          <w:bCs w:val="false"/>
          <w:color w:val="222222"/>
          <w:sz w:val="22"/>
          <w:szCs w:val="22"/>
        </w:rPr>
        <w:t xml:space="preserve">12-Month Performance Trend Chart: Line graph of the student's average performance score across all activities for each of the last 12 months — shows the overall trajectory and inflection points.</w:t>
      </w:r>
    </w:p>
    <w:p>
      <w:pPr>
        <w:pStyle w:val="ListParagraph"/>
        <w:numPr>
          <w:ilvl w:val="0"/>
          <w:numId w:val="2"/>
        </w:numPr>
        <w:spacing w:before="60" w:after="60"/>
      </w:pPr>
      <w:r>
        <w:rPr>
          <w:rFonts w:ascii="Arial" w:cs="Arial" w:eastAsia="Arial" w:hAnsi="Arial"/>
          <w:b w:val="false"/>
          <w:bCs w:val="false"/>
          <w:color w:val="222222"/>
          <w:sz w:val="22"/>
          <w:szCs w:val="22"/>
        </w:rPr>
        <w:t xml:space="preserve">Semester-over-Semester Comparison: Side-by-side performance comparison between the current and previous academic semester across all activity types.</w:t>
      </w:r>
    </w:p>
    <w:p>
      <w:pPr>
        <w:pStyle w:val="ListParagraph"/>
        <w:numPr>
          <w:ilvl w:val="0"/>
          <w:numId w:val="2"/>
        </w:numPr>
        <w:spacing w:before="60" w:after="60"/>
      </w:pPr>
      <w:r>
        <w:rPr>
          <w:rFonts w:ascii="Arial" w:cs="Arial" w:eastAsia="Arial" w:hAnsi="Arial"/>
          <w:b w:val="false"/>
          <w:bCs w:val="false"/>
          <w:color w:val="222222"/>
          <w:sz w:val="22"/>
          <w:szCs w:val="22"/>
        </w:rPr>
        <w:t xml:space="preserve">Domain-Specific Trend: Separate trend lines for technical vs. soft skills performance — identifying whether the student's growth is balanced or concentrated.</w:t>
      </w:r>
    </w:p>
    <w:p>
      <w:pPr>
        <w:pStyle w:val="ListParagraph"/>
        <w:numPr>
          <w:ilvl w:val="0"/>
          <w:numId w:val="2"/>
        </w:numPr>
        <w:spacing w:before="60" w:after="60"/>
      </w:pPr>
      <w:r>
        <w:rPr>
          <w:rFonts w:ascii="Arial" w:cs="Arial" w:eastAsia="Arial" w:hAnsi="Arial"/>
          <w:b w:val="false"/>
          <w:bCs w:val="false"/>
          <w:color w:val="222222"/>
          <w:sz w:val="22"/>
          <w:szCs w:val="22"/>
        </w:rPr>
        <w:t xml:space="preserve">Event Correlation Annotations: Key life events (enrolled in a course, started a new project, completed an internship) overlaid on the trend chart to identify what interventions triggered performance improvements.</w:t>
      </w:r>
    </w:p>
    <w:p>
      <w:pPr>
        <w:spacing w:before="40" w:after="40"/>
      </w:pPr>
      <w:r>
        <w:t xml:space="preserve"/>
      </w:r>
    </w:p>
    <w:p>
      <w:pPr>
        <w:pStyle w:val="Heading2"/>
        <w:spacing w:before="280" w:after="120"/>
      </w:pPr>
      <w:r>
        <w:rPr>
          <w:rFonts w:ascii="Arial" w:cs="Arial" w:eastAsia="Arial" w:hAnsi="Arial"/>
          <w:b/>
          <w:bCs/>
          <w:color w:val="1A73B8"/>
          <w:sz w:val="27"/>
          <w:szCs w:val="27"/>
        </w:rPr>
        <w:t xml:space="preserve">4.6 Privacy &amp; Data Control</w:t>
      </w:r>
    </w:p>
    <w:p>
      <w:pPr>
        <w:pStyle w:val="ListParagraph"/>
        <w:numPr>
          <w:ilvl w:val="0"/>
          <w:numId w:val="2"/>
        </w:numPr>
        <w:spacing w:before="60" w:after="60"/>
      </w:pPr>
      <w:r>
        <w:rPr>
          <w:rFonts w:ascii="Arial" w:cs="Arial" w:eastAsia="Arial" w:hAnsi="Arial"/>
          <w:b w:val="false"/>
          <w:bCs w:val="false"/>
          <w:color w:val="222222"/>
          <w:sz w:val="22"/>
          <w:szCs w:val="22"/>
        </w:rPr>
        <w:t xml:space="preserve">Students have full granular control over what portions of their Performance History are shared and with whom (public, institute only, recruiters, private).</w:t>
      </w:r>
    </w:p>
    <w:p>
      <w:pPr>
        <w:pStyle w:val="ListParagraph"/>
        <w:numPr>
          <w:ilvl w:val="0"/>
          <w:numId w:val="2"/>
        </w:numPr>
        <w:spacing w:before="60" w:after="60"/>
      </w:pPr>
      <w:r>
        <w:rPr>
          <w:rFonts w:ascii="Arial" w:cs="Arial" w:eastAsia="Arial" w:hAnsi="Arial"/>
          <w:b w:val="false"/>
          <w:bCs w:val="false"/>
          <w:color w:val="222222"/>
          <w:sz w:val="22"/>
          <w:szCs w:val="22"/>
        </w:rPr>
        <w:t xml:space="preserve">Sensitive records (e.g., abandoned projects, low assessment scores) are not automatically shared and require explicit student consent to include in any shared view.</w:t>
      </w:r>
    </w:p>
    <w:p>
      <w:pPr>
        <w:pStyle w:val="ListParagraph"/>
        <w:numPr>
          <w:ilvl w:val="0"/>
          <w:numId w:val="2"/>
        </w:numPr>
        <w:spacing w:before="60" w:after="60"/>
      </w:pPr>
      <w:r>
        <w:rPr>
          <w:rFonts w:ascii="Arial" w:cs="Arial" w:eastAsia="Arial" w:hAnsi="Arial"/>
          <w:b w:val="false"/>
          <w:bCs w:val="false"/>
          <w:color w:val="222222"/>
          <w:sz w:val="22"/>
          <w:szCs w:val="22"/>
        </w:rPr>
        <w:t xml:space="preserve">Data portability: Students can export their complete Performance History as a structured JSON file — enabling portability to other platforms and preventing lock-in.</w:t>
      </w:r>
    </w:p>
    <w:p>
      <w:pPr>
        <w:pStyle w:val="ListParagraph"/>
        <w:numPr>
          <w:ilvl w:val="0"/>
          <w:numId w:val="2"/>
        </w:numPr>
        <w:spacing w:before="60" w:after="60"/>
      </w:pPr>
      <w:r>
        <w:rPr>
          <w:rFonts w:ascii="Arial" w:cs="Arial" w:eastAsia="Arial" w:hAnsi="Arial"/>
          <w:b w:val="false"/>
          <w:bCs w:val="false"/>
          <w:color w:val="222222"/>
          <w:sz w:val="22"/>
          <w:szCs w:val="22"/>
        </w:rPr>
        <w:t xml:space="preserve">Account deletion policy: If a student deletes their account, their performance history data is anonymised and used only for aggregate platform analytics — no individually identifiable data is retained beyond 90 days.</w:t>
      </w:r>
    </w:p>
    <w:p>
      <w:pPr>
        <w:pStyle w:val="ListParagraph"/>
        <w:numPr>
          <w:ilvl w:val="0"/>
          <w:numId w:val="2"/>
        </w:numPr>
        <w:spacing w:before="60" w:after="60"/>
      </w:pPr>
      <w:r>
        <w:rPr>
          <w:rFonts w:ascii="Arial" w:cs="Arial" w:eastAsia="Arial" w:hAnsi="Arial"/>
          <w:b w:val="false"/>
          <w:bCs w:val="false"/>
          <w:color w:val="222222"/>
          <w:sz w:val="22"/>
          <w:szCs w:val="22"/>
        </w:rPr>
        <w:t xml:space="preserve">GDPR and DPDP Act compliance: All data processing follows applicable data protection regulations with a transparent consent framework and a designated data protection point of contact.</w:t>
      </w:r>
    </w:p>
    <w:p>
      <w:pPr>
        <w:spacing w:before="40" w:after="40"/>
      </w:pPr>
      <w:r>
        <w:t xml:space="preserve"/>
      </w:r>
    </w:p>
    <w:p>
      <w:pPr>
        <w:spacing w:before="40" w:after="40"/>
      </w:pPr>
      <w:r>
        <w:t xml:space="preserve"/>
      </w:r>
    </w:p>
    <w:p>
      <w:pPr>
        <w:pStyle w:val="Heading1"/>
        <w:pBdr>
          <w:bottom w:val="single" w:color="0B4F8A" w:sz="10" w:space="5"/>
        </w:pBdr>
        <w:spacing w:before="440" w:after="180"/>
      </w:pPr>
      <w:r>
        <w:rPr>
          <w:rFonts w:ascii="Arial" w:cs="Arial" w:eastAsia="Arial" w:hAnsi="Arial"/>
          <w:b/>
          <w:bCs/>
          <w:color w:val="0B4F8A"/>
          <w:sz w:val="36"/>
          <w:szCs w:val="36"/>
        </w:rPr>
        <w:t xml:space="preserve">Feature Summary Matrix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2000"/>
        <w:gridCol w:w="2100"/>
      </w:tblGrid>
      <w:tr>
        <w:trPr>
          <w:tblHeader/>
        </w:trPr>
        <w:tc>
          <w:tcPr>
            <w:tcW w:type="dxa" w:w="20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Feature</w:t>
            </w:r>
          </w:p>
        </w:tc>
        <w:tc>
          <w:tcPr>
            <w:tcW w:type="dxa" w:w="326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Core Value Delivered</w:t>
            </w:r>
          </w:p>
        </w:tc>
        <w:tc>
          <w:tcPr>
            <w:tcW w:type="dxa" w:w="20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Primary User</w:t>
            </w:r>
          </w:p>
        </w:tc>
        <w:tc>
          <w:tcPr>
            <w:tcW w:type="dxa" w:w="2100"/>
            <w:tcBorders>
              <w:top w:val="single" w:color="0B4F8A" w:sz="6"/>
              <w:left w:val="single" w:color="0B4F8A" w:sz="6"/>
              <w:bottom w:val="single" w:color="0B4F8A" w:sz="6"/>
              <w:right w:val="single" w:color="0B4F8A" w:sz="6"/>
            </w:tcBorders>
            <w:shd w:fill="0B4F8A"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Key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 Skill Growth Reports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Visualises and quantifies how a student's verified skills have evolved over time — motivating growth and revealing gaps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Student + Recruiter + Institute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Skill timeline, radar chart, gap analysis</w:t>
            </w:r>
          </w:p>
        </w:tc>
      </w:tr>
      <w:tr>
        <w:tc>
          <w:tcPr>
            <w:tcW w:type="dxa" w:w="20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2. Learning Analytics</w:t>
            </w:r>
          </w:p>
        </w:tc>
        <w:tc>
          <w:tcPr>
            <w:tcW w:type="dxa" w:w="32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Converts every learning interaction into actionable insights on engagement, comprehension, behaviour, and progress — personalising the learning experience</w:t>
            </w:r>
          </w:p>
        </w:tc>
        <w:tc>
          <w:tcPr>
            <w:tcW w:type="dxa" w:w="20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Student + Mentor + Institute</w:t>
            </w:r>
          </w:p>
        </w:tc>
        <w:tc>
          <w:tcPr>
            <w:tcW w:type="dxa" w:w="21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Engagement score, concept mastery map, behaviour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 Career Readiness Score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Single, transparent composite metric (0–100) showing how prepared a student is for their target career path — computed across six verified dimensions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Student + Recruiter + Parent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CRS score, pillar breakdown, simulator</w:t>
            </w:r>
          </w:p>
        </w:tc>
      </w:tr>
      <w:tr>
        <w:tc>
          <w:tcPr>
            <w:tcW w:type="dxa" w:w="20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4. Performance History</w:t>
            </w:r>
          </w:p>
        </w:tc>
        <w:tc>
          <w:tcPr>
            <w:tcW w:type="dxa" w:w="326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Permanent, immutable, tamper-proof record of every measurable outcome — the credible evidence layer underpinning all other analytics</w:t>
            </w:r>
          </w:p>
        </w:tc>
        <w:tc>
          <w:tcPr>
            <w:tcW w:type="dxa" w:w="20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Student + Institute + Recruiter</w:t>
            </w:r>
          </w:p>
        </w:tc>
        <w:tc>
          <w:tcPr>
            <w:tcW w:type="dxa" w:w="2100"/>
            <w:tcBorders>
              <w:top w:val="single" w:color="CCCCCC" w:sz="1"/>
              <w:left w:val="single" w:color="CCCCCC" w:sz="1"/>
              <w:bottom w:val="single" w:color="CCCCCC" w:sz="1"/>
              <w:right w:val="single" w:color="CCCCCC" w:sz="1"/>
            </w:tcBorders>
            <w:shd w:fill="F2F6FB" w:val="clear"/>
            <w:tcMar>
              <w:top w:type="dxa" w:w="80"/>
              <w:left w:type="dxa" w:w="130"/>
              <w:bottom w:type="dxa" w:w="80"/>
              <w:right w:type="dxa" w:w="130"/>
            </w:tcMar>
          </w:tcPr>
          <w:p>
            <w:r>
              <w:rPr>
                <w:rFonts w:ascii="Arial" w:cs="Arial" w:eastAsia="Arial" w:hAnsi="Arial"/>
                <w:sz w:val="20"/>
                <w:szCs w:val="20"/>
              </w:rPr>
              <w:t xml:space="preserve">Verified performance archive, audit report, QR verification</w:t>
            </w:r>
          </w:p>
        </w:tc>
      </w:tr>
    </w:tbl>
    <w:p>
      <w:pPr>
        <w:spacing w:before="40" w:after="40"/>
      </w:pPr>
      <w:r>
        <w:t xml:space="preserve"/>
      </w:r>
    </w:p>
    <w:p>
      <w:pPr>
        <w:spacing w:before="40" w:after="40"/>
      </w:pPr>
      <w:r>
        <w:t xml:space="preserve"/>
      </w:r>
    </w:p>
    <w:p>
      <w:pPr>
        <w:pBdr>
          <w:top w:val="single" w:color="0B4F8A" w:sz="4" w:space="6"/>
        </w:pBdr>
        <w:spacing w:before="200" w:after="80"/>
        <w:jc w:val="center"/>
      </w:pPr>
      <w:r>
        <w:rPr>
          <w:rFonts w:ascii="Arial" w:cs="Arial" w:eastAsia="Arial" w:hAnsi="Arial"/>
          <w:i/>
          <w:iCs/>
          <w:color w:val="AAAAAA"/>
          <w:sz w:val="20"/>
          <w:szCs w:val="20"/>
        </w:rPr>
        <w:t xml:space="preserve">End of Document — O. Student Analytics Feature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AAAAAA"/>
        <w:sz w:val="18"/>
        <w:szCs w:val="18"/>
      </w:rPr>
      <w:t xml:space="preserve">EcoSkiller Platform  |  Confidential  |  O. Student Analytics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4F8A" w:sz="4" w:space="4"/>
      </w:pBdr>
      <w:jc w:val="right"/>
    </w:pPr>
    <w:r>
      <w:rPr>
        <w:rFonts w:ascii="Arial" w:cs="Arial" w:eastAsia="Arial" w:hAnsi="Arial"/>
        <w:color w:val="0B4F8A"/>
        <w:sz w:val="18"/>
        <w:szCs w:val="18"/>
      </w:rPr>
      <w:t xml:space="preserve">O. Student Analytics — Feature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0B4F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3B8"/>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2026-03-09T10:44:10.283Z</dcterms:created>
  <dcterms:modified xsi:type="dcterms:W3CDTF">2026-03-09T10:44:10.305Z</dcterms:modified>
</cp:coreProperties>
</file>

<file path=docProps/custom.xml><?xml version="1.0" encoding="utf-8"?>
<Properties xmlns="http://schemas.openxmlformats.org/officeDocument/2006/custom-properties" xmlns:vt="http://schemas.openxmlformats.org/officeDocument/2006/docPropsVTypes"/>
</file>