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aps/>
          <w:color w:val="1A5276"/>
          <w:sz w:val="52"/>
          <w:szCs w:val="52"/>
        </w:rPr>
        <w:t xml:space="preserve">ECOSKILLER PLATFORM</w:t>
      </w:r>
    </w:p>
    <w:p>
      <w:pPr>
        <w:spacing w:after="120" w:before="0"/>
        <w:jc w:val="center"/>
      </w:pPr>
      <w:r>
        <w:rPr>
          <w:rFonts w:ascii="Arial" w:cs="Arial" w:eastAsia="Arial" w:hAnsi="Arial"/>
          <w:b/>
          <w:bCs/>
          <w:color w:val="154360"/>
          <w:sz w:val="36"/>
          <w:szCs w:val="36"/>
        </w:rPr>
        <w:t xml:space="preserve">Trainer Certification &amp; Validation Framework</w:t>
      </w:r>
    </w:p>
    <w:p>
      <w:pPr>
        <w:spacing w:after="80" w:before="0"/>
        <w:jc w:val="center"/>
      </w:pPr>
      <w:r>
        <w:rPr>
          <w:rFonts w:ascii="Arial" w:cs="Arial" w:eastAsia="Arial" w:hAnsi="Arial"/>
          <w:i/>
          <w:iCs/>
          <w:color w:val="2E86C1"/>
          <w:sz w:val="28"/>
          <w:szCs w:val="28"/>
        </w:rPr>
        <w:t xml:space="preserve">Automated Voice Group Discussion (GD) System</w:t>
      </w:r>
    </w:p>
    <w:p>
      <w:pPr>
        <w:spacing w:after="600" w:before="0"/>
        <w:jc w:val="center"/>
      </w:pPr>
      <w:r>
        <w:rPr>
          <w:rFonts w:ascii="Arial" w:cs="Arial" w:eastAsia="Arial" w:hAnsi="Arial"/>
          <w:color w:val="7F8C8D"/>
          <w:sz w:val="24"/>
          <w:szCs w:val="24"/>
        </w:rPr>
        <w:t xml:space="preserve">SME-Focused Campus Recruitment Module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Document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Certification &amp; Validation Manual</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Prepared For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Platform Trainers &amp; Quality Assurance Team</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System 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Automated Voice GD System + SME Recruitment Layer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v1.0 — Initial Release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Effective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Internal — Restricted Distribution</w:t>
            </w:r>
          </w:p>
        </w:tc>
      </w:tr>
    </w:tbl>
    <w:p>
      <w:r>
        <w:br w:type="page"/>
      </w:r>
    </w:p>
    <w:p>
      <w:pPr>
        <w:pStyle w:val="Heading1"/>
        <w:pBdr>
          <w:bottom w:val="single" w:color="1A5276" w:sz="6" w:space="1"/>
        </w:pBdr>
        <w:spacing w:after="200" w:before="360"/>
      </w:pPr>
      <w:r>
        <w:rPr>
          <w:rFonts w:ascii="Arial" w:cs="Arial" w:eastAsia="Arial" w:hAnsi="Arial"/>
          <w:b/>
          <w:bCs/>
          <w:color w:val="1A5276"/>
          <w:sz w:val="32"/>
          <w:szCs w:val="32"/>
        </w:rPr>
        <w:t xml:space="preserve">1. PURPOSE AND SCOPE OF THIS DOCUMENT</w:t>
      </w:r>
    </w:p>
    <w:p>
      <w:pPr>
        <w:spacing w:after="80" w:before="60"/>
      </w:pPr>
      <w:r>
        <w:rPr>
          <w:rFonts w:ascii="Arial" w:cs="Arial" w:eastAsia="Arial" w:hAnsi="Arial"/>
          <w:color w:val="1C2833"/>
          <w:sz w:val="22"/>
          <w:szCs w:val="22"/>
        </w:rPr>
        <w:t xml:space="preserve">This Trainer Certification and Validation document establishes the complete framework for certifying trainers who deliver instruction on the EcoSkiller platform's Automated Voice Group Discussion (GD) System and the SME-Focused Campus Recruitment Module. It defines in-depth feature knowledge requirements, validation criteria, assessment methods, and certification standards that every trainer must demonstrate before being authorized to train end-users.</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1.1 Objectives of Trainer Certification</w:t>
      </w:r>
    </w:p>
    <w:p>
      <w:pPr>
        <w:pStyle w:val="ListParagraph"/>
        <w:numPr>
          <w:ilvl w:val="0"/>
          <w:numId w:val="2"/>
        </w:numPr>
        <w:spacing w:after="40" w:before="40"/>
      </w:pPr>
      <w:r>
        <w:rPr>
          <w:rFonts w:ascii="Arial" w:cs="Arial" w:eastAsia="Arial" w:hAnsi="Arial"/>
          <w:b w:val="false"/>
          <w:bCs w:val="false"/>
          <w:color w:val="1C2833"/>
          <w:sz w:val="22"/>
          <w:szCs w:val="22"/>
        </w:rPr>
        <w:t xml:space="preserve">Ensure every trainer has a thorough, technical understanding of each system feature</w:t>
      </w:r>
    </w:p>
    <w:p>
      <w:pPr>
        <w:pStyle w:val="ListParagraph"/>
        <w:numPr>
          <w:ilvl w:val="0"/>
          <w:numId w:val="2"/>
        </w:numPr>
        <w:spacing w:after="40" w:before="40"/>
      </w:pPr>
      <w:r>
        <w:rPr>
          <w:rFonts w:ascii="Arial" w:cs="Arial" w:eastAsia="Arial" w:hAnsi="Arial"/>
          <w:b w:val="false"/>
          <w:bCs w:val="false"/>
          <w:color w:val="1C2833"/>
          <w:sz w:val="22"/>
          <w:szCs w:val="22"/>
        </w:rPr>
        <w:t xml:space="preserve">Validate that trainers can accurately explain design philosophy, architecture, and business rationale</w:t>
      </w:r>
    </w:p>
    <w:p>
      <w:pPr>
        <w:pStyle w:val="ListParagraph"/>
        <w:numPr>
          <w:ilvl w:val="0"/>
          <w:numId w:val="2"/>
        </w:numPr>
        <w:spacing w:after="40" w:before="40"/>
      </w:pPr>
      <w:r>
        <w:rPr>
          <w:rFonts w:ascii="Arial" w:cs="Arial" w:eastAsia="Arial" w:hAnsi="Arial"/>
          <w:b w:val="false"/>
          <w:bCs w:val="false"/>
          <w:color w:val="1C2833"/>
          <w:sz w:val="22"/>
          <w:szCs w:val="22"/>
        </w:rPr>
        <w:t xml:space="preserve">Confirm trainers can conduct live demonstrations and handle participant questions</w:t>
      </w:r>
    </w:p>
    <w:p>
      <w:pPr>
        <w:pStyle w:val="ListParagraph"/>
        <w:numPr>
          <w:ilvl w:val="0"/>
          <w:numId w:val="2"/>
        </w:numPr>
        <w:spacing w:after="40" w:before="40"/>
      </w:pPr>
      <w:r>
        <w:rPr>
          <w:rFonts w:ascii="Arial" w:cs="Arial" w:eastAsia="Arial" w:hAnsi="Arial"/>
          <w:b w:val="false"/>
          <w:bCs w:val="false"/>
          <w:color w:val="1C2833"/>
          <w:sz w:val="22"/>
          <w:szCs w:val="22"/>
        </w:rPr>
        <w:t xml:space="preserve">Establish a standardized quality benchmark across all training delivery channels</w:t>
      </w:r>
    </w:p>
    <w:p>
      <w:pPr>
        <w:pStyle w:val="ListParagraph"/>
        <w:numPr>
          <w:ilvl w:val="0"/>
          <w:numId w:val="2"/>
        </w:numPr>
        <w:spacing w:after="40" w:before="40"/>
      </w:pPr>
      <w:r>
        <w:rPr>
          <w:rFonts w:ascii="Arial" w:cs="Arial" w:eastAsia="Arial" w:hAnsi="Arial"/>
          <w:b w:val="false"/>
          <w:bCs w:val="false"/>
          <w:color w:val="1C2833"/>
          <w:sz w:val="22"/>
          <w:szCs w:val="22"/>
        </w:rPr>
        <w:t xml:space="preserve">Create a documented audit trail of trainer competency for compliance purposes</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1.2 Scope of Coverage</w:t>
      </w:r>
    </w:p>
    <w:p>
      <w:pPr>
        <w:spacing w:after="80" w:before="60"/>
      </w:pPr>
      <w:r>
        <w:rPr>
          <w:rFonts w:ascii="Arial" w:cs="Arial" w:eastAsia="Arial" w:hAnsi="Arial"/>
          <w:color w:val="1C2833"/>
          <w:sz w:val="22"/>
          <w:szCs w:val="22"/>
        </w:rPr>
        <w:t xml:space="preserve">This certification covers two integrated modules:</w:t>
      </w:r>
    </w:p>
    <w:p>
      <w:pPr>
        <w:pStyle w:val="ListParagraph"/>
        <w:numPr>
          <w:ilvl w:val="0"/>
          <w:numId w:val="2"/>
        </w:numPr>
        <w:spacing w:after="40" w:before="40"/>
      </w:pPr>
      <w:r>
        <w:rPr>
          <w:rFonts w:ascii="Arial" w:cs="Arial" w:eastAsia="Arial" w:hAnsi="Arial"/>
          <w:b w:val="false"/>
          <w:bCs w:val="false"/>
          <w:color w:val="1C2833"/>
          <w:sz w:val="22"/>
          <w:szCs w:val="22"/>
        </w:rPr>
        <w:t xml:space="preserve">Module A: Automated Voice GD System — Full feature set including protocol design, Jitsi architecture, turn-based engine, scoring, and failure handling</w:t>
      </w:r>
    </w:p>
    <w:p>
      <w:pPr>
        <w:pStyle w:val="ListParagraph"/>
        <w:numPr>
          <w:ilvl w:val="0"/>
          <w:numId w:val="2"/>
        </w:numPr>
        <w:spacing w:after="40" w:before="40"/>
      </w:pPr>
      <w:r>
        <w:rPr>
          <w:rFonts w:ascii="Arial" w:cs="Arial" w:eastAsia="Arial" w:hAnsi="Arial"/>
          <w:b w:val="false"/>
          <w:bCs w:val="false"/>
          <w:color w:val="1C2833"/>
          <w:sz w:val="22"/>
          <w:szCs w:val="22"/>
        </w:rPr>
        <w:t xml:space="preserve">Module B: SME Recruitment Layer — All ten problem-solution pairs, verification system, AI risk models, and trust dashboards</w:t>
      </w:r>
    </w:p>
    <w:p>
      <w:r>
        <w:br w:type="page"/>
      </w:r>
    </w:p>
    <w:p>
      <w:pPr>
        <w:pStyle w:val="Heading1"/>
        <w:pBdr>
          <w:bottom w:val="single" w:color="1A5276" w:sz="6" w:space="1"/>
        </w:pBdr>
        <w:spacing w:after="200" w:before="360"/>
      </w:pPr>
      <w:r>
        <w:rPr>
          <w:rFonts w:ascii="Arial" w:cs="Arial" w:eastAsia="Arial" w:hAnsi="Arial"/>
          <w:b/>
          <w:bCs/>
          <w:color w:val="1A5276"/>
          <w:sz w:val="32"/>
          <w:szCs w:val="32"/>
        </w:rPr>
        <w:t xml:space="preserve">2. MODULE A — AUTOMATED VOICE GD SYSTEM: IN-DEPTH FEATURE DESCRIPTIONS</w:t>
      </w:r>
    </w:p>
    <w:p>
      <w:pPr>
        <w:spacing w:after="80" w:before="60"/>
      </w:pPr>
      <w:r>
        <w:rPr>
          <w:rFonts w:ascii="Arial" w:cs="Arial" w:eastAsia="Arial" w:hAnsi="Arial"/>
          <w:color w:val="1C2833"/>
          <w:sz w:val="22"/>
          <w:szCs w:val="22"/>
        </w:rPr>
        <w:t xml:space="preserve">Each feature below represents a mandatory knowledge area for trainer certification. Trainers must be able to explain, demonstrate, and field questions on every sub-component listed.</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2.1  Deterministic Protocol Design</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The foundational design principle of the system is the complete elimination of human and AI judgment from Group Discussion evaluation. This is achieved by converting all traditionally subjective GD behaviors into a strict, rules-based protocol.</w:t>
      </w:r>
    </w:p>
    <w:p>
      <w:pPr>
        <w:spacing w:after="100" w:before="200"/>
      </w:pPr>
      <w:r>
        <w:rPr>
          <w:rFonts w:ascii="Arial" w:cs="Arial" w:eastAsia="Arial" w:hAnsi="Arial"/>
          <w:b/>
          <w:bCs/>
          <w:color w:val="1A5276"/>
          <w:sz w:val="22"/>
          <w:szCs w:val="22"/>
        </w:rPr>
        <w:t xml:space="preserve">In-Depth Description</w:t>
      </w:r>
    </w:p>
    <w:p>
      <w:pPr>
        <w:spacing w:after="80" w:before="60"/>
      </w:pPr>
      <w:r>
        <w:rPr>
          <w:rFonts w:ascii="Arial" w:cs="Arial" w:eastAsia="Arial" w:hAnsi="Arial"/>
          <w:color w:val="1C2833"/>
          <w:sz w:val="22"/>
          <w:szCs w:val="22"/>
        </w:rPr>
        <w:t xml:space="preserve">Traditional GD rounds rely on human moderators who observe body language, confidence, tone, and leadership presence — all of which introduce bias, inconsistency, and subjectivity. This system replaces every such judgment point with a deterministic rule. The term 'deterministic' means: given the same inputs, the system will always produce the same output, with zero variation based on who is evaluating.</w:t>
      </w:r>
    </w:p>
    <w:p>
      <w:pPr>
        <w:spacing w:after="80" w:before="60"/>
      </w:pPr>
      <w:r>
        <w:rPr>
          <w:rFonts w:ascii="Arial" w:cs="Arial" w:eastAsia="Arial" w:hAnsi="Arial"/>
          <w:color w:val="1C2833"/>
          <w:sz w:val="22"/>
          <w:szCs w:val="22"/>
        </w:rPr>
        <w:t xml:space="preserve">The four pillars of determinism in this system are:</w:t>
      </w:r>
    </w:p>
    <w:p>
      <w:pPr>
        <w:pStyle w:val="ListParagraph"/>
        <w:numPr>
          <w:ilvl w:val="0"/>
          <w:numId w:val="2"/>
        </w:numPr>
        <w:spacing w:after="40" w:before="40"/>
      </w:pPr>
      <w:r>
        <w:rPr>
          <w:rFonts w:ascii="Arial" w:cs="Arial" w:eastAsia="Arial" w:hAnsi="Arial"/>
          <w:b w:val="false"/>
          <w:bCs w:val="false"/>
          <w:color w:val="1C2833"/>
          <w:sz w:val="22"/>
          <w:szCs w:val="22"/>
        </w:rPr>
        <w:t xml:space="preserve">Speaking is Enforced, Not Requested: Candidates do not 'raise their hand' or wait for permission. The backend state machine grants and revokes speaking tokens automatically. The system compels structured participation rather than rewarding extrovert behavior.</w:t>
      </w:r>
    </w:p>
    <w:p>
      <w:pPr>
        <w:pStyle w:val="ListParagraph"/>
        <w:numPr>
          <w:ilvl w:val="0"/>
          <w:numId w:val="2"/>
        </w:numPr>
        <w:spacing w:after="40" w:before="40"/>
      </w:pPr>
      <w:r>
        <w:rPr>
          <w:rFonts w:ascii="Arial" w:cs="Arial" w:eastAsia="Arial" w:hAnsi="Arial"/>
          <w:b w:val="false"/>
          <w:bCs w:val="false"/>
          <w:color w:val="1C2833"/>
          <w:sz w:val="22"/>
          <w:szCs w:val="22"/>
        </w:rPr>
        <w:t xml:space="preserve">Order is Computed, Not Negotiated: The speaking sequence is pre-calculated at session start, based on join-time order. There is no real-time reordering, no moderator override, and no candidate influence over the queue.</w:t>
      </w:r>
    </w:p>
    <w:p>
      <w:pPr>
        <w:pStyle w:val="ListParagraph"/>
        <w:numPr>
          <w:ilvl w:val="0"/>
          <w:numId w:val="2"/>
        </w:numPr>
        <w:spacing w:after="40" w:before="40"/>
      </w:pPr>
      <w:r>
        <w:rPr>
          <w:rFonts w:ascii="Arial" w:cs="Arial" w:eastAsia="Arial" w:hAnsi="Arial"/>
          <w:b w:val="false"/>
          <w:bCs w:val="false"/>
          <w:color w:val="1C2833"/>
          <w:sz w:val="22"/>
          <w:szCs w:val="22"/>
        </w:rPr>
        <w:t xml:space="preserve">Evaluation is Numeric, Not Interpretive: Every behavioral event — turns completed, silence duration, interrupt attempts, network drops — is logged as a raw number. Final scores are calculated by a fixed formula, not by interpretation.</w:t>
      </w:r>
    </w:p>
    <w:p>
      <w:pPr>
        <w:pStyle w:val="ListParagraph"/>
        <w:numPr>
          <w:ilvl w:val="0"/>
          <w:numId w:val="2"/>
        </w:numPr>
        <w:spacing w:after="40" w:before="40"/>
      </w:pPr>
      <w:r>
        <w:rPr>
          <w:rFonts w:ascii="Arial" w:cs="Arial" w:eastAsia="Arial" w:hAnsi="Arial"/>
          <w:b w:val="false"/>
          <w:bCs w:val="false"/>
          <w:color w:val="1C2833"/>
          <w:sz w:val="22"/>
          <w:szCs w:val="22"/>
        </w:rPr>
        <w:t xml:space="preserve">Bias is Structurally Eliminated: The system does not record voice tone, accent, speech content, or confidence. By measuring only protocol-level behaviors, accent discrimination, gender bias, and evaluator fatigue are architecturally prevented.</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the difference between subjective evaluation and deterministic evaluation with examples</w:t>
      </w:r>
    </w:p>
    <w:p>
      <w:pPr>
        <w:pStyle w:val="ListParagraph"/>
        <w:numPr>
          <w:ilvl w:val="0"/>
          <w:numId w:val="2"/>
        </w:numPr>
        <w:spacing w:after="40" w:before="40"/>
      </w:pPr>
      <w:r>
        <w:rPr>
          <w:rFonts w:ascii="Arial" w:cs="Arial" w:eastAsia="Arial" w:hAnsi="Arial"/>
          <w:b w:val="false"/>
          <w:bCs w:val="false"/>
          <w:color w:val="1C2833"/>
          <w:sz w:val="22"/>
          <w:szCs w:val="22"/>
        </w:rPr>
        <w:t xml:space="preserve">Articulate why each of the four pillars exists and what problem it solves</w:t>
      </w:r>
    </w:p>
    <w:p>
      <w:pPr>
        <w:pStyle w:val="ListParagraph"/>
        <w:numPr>
          <w:ilvl w:val="0"/>
          <w:numId w:val="2"/>
        </w:numPr>
        <w:spacing w:after="40" w:before="40"/>
      </w:pPr>
      <w:r>
        <w:rPr>
          <w:rFonts w:ascii="Arial" w:cs="Arial" w:eastAsia="Arial" w:hAnsi="Arial"/>
          <w:b w:val="false"/>
          <w:bCs w:val="false"/>
          <w:color w:val="1C2833"/>
          <w:sz w:val="22"/>
          <w:szCs w:val="22"/>
        </w:rPr>
        <w:t xml:space="preserve">Demonstrate how a score changes when interrupt attempts increase</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2.2  Jitsi Self-Hosted Infrastructure</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Jitsi is an open-source, self-hostable, WebRTC-based conferencing stack used exclusively as the voice transport layer. It receives commands from the backend and transmits audio. It makes no independent decisions.</w:t>
      </w:r>
    </w:p>
    <w:p>
      <w:pPr>
        <w:spacing w:after="100" w:before="200"/>
      </w:pPr>
      <w:r>
        <w:rPr>
          <w:rFonts w:ascii="Arial" w:cs="Arial" w:eastAsia="Arial" w:hAnsi="Arial"/>
          <w:b/>
          <w:bCs/>
          <w:color w:val="1A5276"/>
          <w:sz w:val="22"/>
          <w:szCs w:val="22"/>
        </w:rPr>
        <w:t xml:space="preserve">In-Depth Description</w:t>
      </w:r>
    </w:p>
    <w:p>
      <w:pPr>
        <w:spacing w:after="80" w:before="60"/>
      </w:pPr>
      <w:r>
        <w:rPr>
          <w:rFonts w:ascii="Arial" w:cs="Arial" w:eastAsia="Arial" w:hAnsi="Arial"/>
          <w:color w:val="1C2833"/>
          <w:sz w:val="22"/>
          <w:szCs w:val="22"/>
        </w:rPr>
        <w:t xml:space="preserve">Most video conferencing platforms (Zoom, Google Meet, Teams) are consumer-grade SaaS products that cannot be fully controlled by an external backend. Jitsi is selected because it is programmable infrastructure — it exposes APIs that allow the backend to issue commands such as forced mute, forced unmute, participant removal, and room termination.</w:t>
      </w:r>
    </w:p>
    <w:p>
      <w:pPr>
        <w:spacing w:after="80" w:before="60"/>
      </w:pPr>
      <w:r>
        <w:rPr>
          <w:rFonts w:ascii="Arial" w:cs="Arial" w:eastAsia="Arial" w:hAnsi="Arial"/>
          <w:color w:val="1C2833"/>
          <w:sz w:val="22"/>
          <w:szCs w:val="22"/>
        </w:rPr>
        <w:t xml:space="preserve">Core Jitsi Components a trainer must understand:</w:t>
      </w:r>
    </w:p>
    <w:p>
      <w:pPr>
        <w:pStyle w:val="ListParagraph"/>
        <w:numPr>
          <w:ilvl w:val="0"/>
          <w:numId w:val="2"/>
        </w:numPr>
        <w:spacing w:after="40" w:before="40"/>
      </w:pPr>
      <w:r>
        <w:rPr>
          <w:rFonts w:ascii="Arial" w:cs="Arial" w:eastAsia="Arial" w:hAnsi="Arial"/>
          <w:b w:val="false"/>
          <w:bCs w:val="false"/>
          <w:color w:val="1C2833"/>
          <w:sz w:val="22"/>
          <w:szCs w:val="22"/>
        </w:rPr>
        <w:t xml:space="preserve">Jitsi Meet: The user-facing HTML interface. In this system, the interface is stripped of all user controls — mute buttons, camera toggles, chat, and participant lists are all hidden. Candidates interact only with the countdown timer and the topic display.</w:t>
      </w:r>
    </w:p>
    <w:p>
      <w:pPr>
        <w:pStyle w:val="ListParagraph"/>
        <w:numPr>
          <w:ilvl w:val="0"/>
          <w:numId w:val="2"/>
        </w:numPr>
        <w:spacing w:after="40" w:before="40"/>
      </w:pPr>
      <w:r>
        <w:rPr>
          <w:rFonts w:ascii="Arial" w:cs="Arial" w:eastAsia="Arial" w:hAnsi="Arial"/>
          <w:b w:val="false"/>
          <w:bCs w:val="false"/>
          <w:color w:val="1C2833"/>
          <w:sz w:val="22"/>
          <w:szCs w:val="22"/>
        </w:rPr>
        <w:t xml:space="preserve">Jitsi Videobridge (JVB): The Selective Forwarding Unit (SFU) that routes audio streams between participants. SFU architecture means audio is relayed through the server, not peer-to-peer — this ensures stability on mobile and low-bandwidth connections.</w:t>
      </w:r>
    </w:p>
    <w:p>
      <w:pPr>
        <w:pStyle w:val="ListParagraph"/>
        <w:numPr>
          <w:ilvl w:val="0"/>
          <w:numId w:val="2"/>
        </w:numPr>
        <w:spacing w:after="40" w:before="40"/>
      </w:pPr>
      <w:r>
        <w:rPr>
          <w:rFonts w:ascii="Arial" w:cs="Arial" w:eastAsia="Arial" w:hAnsi="Arial"/>
          <w:b w:val="false"/>
          <w:bCs w:val="false"/>
          <w:color w:val="1C2833"/>
          <w:sz w:val="22"/>
          <w:szCs w:val="22"/>
        </w:rPr>
        <w:t xml:space="preserve">Jicofo: Conference Focus component that coordinates participant state and room management. The backend communicates with Jicofo to control room lifecycle.</w:t>
      </w:r>
    </w:p>
    <w:p>
      <w:pPr>
        <w:spacing w:after="80" w:before="60"/>
      </w:pPr>
      <w:r>
        <w:rPr>
          <w:rFonts w:ascii="Arial" w:cs="Arial" w:eastAsia="Arial" w:hAnsi="Arial"/>
          <w:color w:val="1C2833"/>
          <w:sz w:val="22"/>
          <w:szCs w:val="22"/>
        </w:rPr>
        <w:t xml:space="preserve">Deployment details trainers must be familiar with:</w:t>
      </w:r>
    </w:p>
    <w:p>
      <w:pPr>
        <w:pStyle w:val="ListParagraph"/>
        <w:numPr>
          <w:ilvl w:val="0"/>
          <w:numId w:val="2"/>
        </w:numPr>
        <w:spacing w:after="40" w:before="40"/>
      </w:pPr>
      <w:r>
        <w:rPr>
          <w:rFonts w:ascii="Arial" w:cs="Arial" w:eastAsia="Arial" w:hAnsi="Arial"/>
          <w:b w:val="false"/>
          <w:bCs w:val="false"/>
          <w:color w:val="1C2833"/>
          <w:sz w:val="22"/>
          <w:szCs w:val="22"/>
        </w:rPr>
        <w:t xml:space="preserve">Jitsi is licensed under Apache 2.0 — zero licensing cost, zero per-user fees</w:t>
      </w:r>
    </w:p>
    <w:p>
      <w:pPr>
        <w:pStyle w:val="ListParagraph"/>
        <w:numPr>
          <w:ilvl w:val="0"/>
          <w:numId w:val="2"/>
        </w:numPr>
        <w:spacing w:after="40" w:before="40"/>
      </w:pPr>
      <w:r>
        <w:rPr>
          <w:rFonts w:ascii="Arial" w:cs="Arial" w:eastAsia="Arial" w:hAnsi="Arial"/>
          <w:b w:val="false"/>
          <w:bCs w:val="false"/>
          <w:color w:val="1C2833"/>
          <w:sz w:val="22"/>
          <w:szCs w:val="22"/>
        </w:rPr>
        <w:t xml:space="preserve">Self-hosted on Oracle Cloud Free Tier (preferred), AWS Free Tier, or local VM</w:t>
      </w:r>
    </w:p>
    <w:p>
      <w:pPr>
        <w:pStyle w:val="ListParagraph"/>
        <w:numPr>
          <w:ilvl w:val="0"/>
          <w:numId w:val="2"/>
        </w:numPr>
        <w:spacing w:after="40" w:before="40"/>
      </w:pPr>
      <w:r>
        <w:rPr>
          <w:rFonts w:ascii="Arial" w:cs="Arial" w:eastAsia="Arial" w:hAnsi="Arial"/>
          <w:b w:val="false"/>
          <w:bCs w:val="false"/>
          <w:color w:val="1C2833"/>
          <w:sz w:val="22"/>
          <w:szCs w:val="22"/>
        </w:rPr>
        <w:t xml:space="preserve">No data leaves the self-hosted environment — all audio is processed on-premise</w:t>
      </w:r>
    </w:p>
    <w:p>
      <w:pPr>
        <w:pStyle w:val="ListParagraph"/>
        <w:numPr>
          <w:ilvl w:val="0"/>
          <w:numId w:val="2"/>
        </w:numPr>
        <w:spacing w:after="40" w:before="40"/>
      </w:pPr>
      <w:r>
        <w:rPr>
          <w:rFonts w:ascii="Arial" w:cs="Arial" w:eastAsia="Arial" w:hAnsi="Arial"/>
          <w:b w:val="false"/>
          <w:bCs w:val="false"/>
          <w:color w:val="1C2833"/>
          <w:sz w:val="22"/>
          <w:szCs w:val="22"/>
        </w:rPr>
        <w:t xml:space="preserve">Rooms are created programmatically; no manual room links are ever shared</w:t>
      </w:r>
    </w:p>
    <w:p>
      <w:pPr>
        <w:spacing w:after="100" w:before="200"/>
      </w:pPr>
      <w:r>
        <w:rPr>
          <w:rFonts w:ascii="Arial" w:cs="Arial" w:eastAsia="Arial" w:hAnsi="Arial"/>
          <w:b/>
          <w:bCs/>
          <w:color w:val="1A5276"/>
          <w:sz w:val="22"/>
          <w:szCs w:val="22"/>
        </w:rPr>
        <w:t xml:space="preserve">Why Not Zoom or Google Meet</w:t>
      </w:r>
    </w:p>
    <w:p>
      <w:pPr>
        <w:spacing w:after="80" w:before="60"/>
      </w:pPr>
      <w:r>
        <w:rPr>
          <w:rFonts w:ascii="Arial" w:cs="Arial" w:eastAsia="Arial" w:hAnsi="Arial"/>
          <w:color w:val="1C2833"/>
          <w:sz w:val="22"/>
          <w:szCs w:val="22"/>
        </w:rPr>
        <w:t xml:space="preserve">Trainers must be prepared to answer this question directly. Zoom and Google Meet are designed for end-users who want convenience. This system requires full programmatic control. Zoom's API does not support forced mute of individual users without a host present in the room. Google Meet offers no programmatic room lifecycle control. Jitsi's open-source design allows complete backend governance.</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Name and explain all three core Jitsi components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SFU vs peer-to-peer architecture and why SFU is chosen</w:t>
      </w:r>
    </w:p>
    <w:p>
      <w:pPr>
        <w:pStyle w:val="ListParagraph"/>
        <w:numPr>
          <w:ilvl w:val="0"/>
          <w:numId w:val="2"/>
        </w:numPr>
        <w:spacing w:after="40" w:before="40"/>
      </w:pPr>
      <w:r>
        <w:rPr>
          <w:rFonts w:ascii="Arial" w:cs="Arial" w:eastAsia="Arial" w:hAnsi="Arial"/>
          <w:b w:val="false"/>
          <w:bCs w:val="false"/>
          <w:color w:val="1C2833"/>
          <w:sz w:val="22"/>
          <w:szCs w:val="22"/>
        </w:rPr>
        <w:t xml:space="preserve">Demonstrate why Zoom/Google Meet are unsuitable alternatives</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the deployment stack and cost structure</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2.3  WebRTC Voice Transport Layer</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WebRTC (Web Real-Time Communication) is the browser-native protocol that handles microphone capture, audio encryption, NAT traversal, and stream delivery. It is the lowest layer in the system and has no role in evaluation or rule enforcement.</w:t>
      </w:r>
    </w:p>
    <w:p>
      <w:pPr>
        <w:spacing w:after="100" w:before="200"/>
      </w:pPr>
      <w:r>
        <w:rPr>
          <w:rFonts w:ascii="Arial" w:cs="Arial" w:eastAsia="Arial" w:hAnsi="Arial"/>
          <w:b/>
          <w:bCs/>
          <w:color w:val="1A5276"/>
          <w:sz w:val="22"/>
          <w:szCs w:val="22"/>
        </w:rPr>
        <w:t xml:space="preserve">In-Depth Description</w:t>
      </w:r>
    </w:p>
    <w:p>
      <w:pPr>
        <w:spacing w:after="80" w:before="60"/>
      </w:pPr>
      <w:r>
        <w:rPr>
          <w:rFonts w:ascii="Arial" w:cs="Arial" w:eastAsia="Arial" w:hAnsi="Arial"/>
          <w:color w:val="1C2833"/>
          <w:sz w:val="22"/>
          <w:szCs w:val="22"/>
        </w:rPr>
        <w:t xml:space="preserve">WebRTC is a W3C and IETF standard built into all modern browsers (Chrome, Firefox, Safari, Edge). It requires no plugin, no app installation, and no download. This is critical for campus recruitment settings where candidates may be using college computer labs or personal mobile devices.</w:t>
      </w:r>
    </w:p>
    <w:p>
      <w:pPr>
        <w:spacing w:after="80" w:before="60"/>
      </w:pPr>
      <w:r>
        <w:rPr>
          <w:rFonts w:ascii="Arial" w:cs="Arial" w:eastAsia="Arial" w:hAnsi="Arial"/>
          <w:color w:val="1C2833"/>
          <w:sz w:val="22"/>
          <w:szCs w:val="22"/>
        </w:rPr>
        <w:t xml:space="preserve">The seven-step WebRTC operation flow trainers must be able to explain:</w:t>
      </w:r>
    </w:p>
    <w:p>
      <w:pPr>
        <w:pStyle w:val="ListParagraph"/>
        <w:numPr>
          <w:ilvl w:val="0"/>
          <w:numId w:val="2"/>
        </w:numPr>
        <w:spacing w:after="40" w:before="40"/>
      </w:pPr>
      <w:r>
        <w:rPr>
          <w:rFonts w:ascii="Arial" w:cs="Arial" w:eastAsia="Arial" w:hAnsi="Arial"/>
          <w:b w:val="false"/>
          <w:bCs w:val="false"/>
          <w:color w:val="1C2833"/>
          <w:sz w:val="22"/>
          <w:szCs w:val="22"/>
        </w:rPr>
        <w:t xml:space="preserve">Step 1 — Mic Permission: Browser requests microphone access from the candidate. If denied, the candidate is flagged and their token is skipped.</w:t>
      </w:r>
    </w:p>
    <w:p>
      <w:pPr>
        <w:pStyle w:val="ListParagraph"/>
        <w:numPr>
          <w:ilvl w:val="0"/>
          <w:numId w:val="2"/>
        </w:numPr>
        <w:spacing w:after="40" w:before="40"/>
      </w:pPr>
      <w:r>
        <w:rPr>
          <w:rFonts w:ascii="Arial" w:cs="Arial" w:eastAsia="Arial" w:hAnsi="Arial"/>
          <w:b w:val="false"/>
          <w:bCs w:val="false"/>
          <w:color w:val="1C2833"/>
          <w:sz w:val="22"/>
          <w:szCs w:val="22"/>
        </w:rPr>
        <w:t xml:space="preserve">Step 2 — Audio Stream Creation: Browser creates a MediaStream object capturing live audio from the microphone.</w:t>
      </w:r>
    </w:p>
    <w:p>
      <w:pPr>
        <w:pStyle w:val="ListParagraph"/>
        <w:numPr>
          <w:ilvl w:val="0"/>
          <w:numId w:val="2"/>
        </w:numPr>
        <w:spacing w:after="40" w:before="40"/>
      </w:pPr>
      <w:r>
        <w:rPr>
          <w:rFonts w:ascii="Arial" w:cs="Arial" w:eastAsia="Arial" w:hAnsi="Arial"/>
          <w:b w:val="false"/>
          <w:bCs w:val="false"/>
          <w:color w:val="1C2833"/>
          <w:sz w:val="22"/>
          <w:szCs w:val="22"/>
        </w:rPr>
        <w:t xml:space="preserve">Step 3 — Signaling (SDP/ICE Exchange): Backend coordinates the Session Description Protocol (SDP) and Interactive Connectivity Establishment (ICE) negotiation between participants and the Jitsi server.</w:t>
      </w:r>
    </w:p>
    <w:p>
      <w:pPr>
        <w:pStyle w:val="ListParagraph"/>
        <w:numPr>
          <w:ilvl w:val="0"/>
          <w:numId w:val="2"/>
        </w:numPr>
        <w:spacing w:after="40" w:before="40"/>
      </w:pPr>
      <w:r>
        <w:rPr>
          <w:rFonts w:ascii="Arial" w:cs="Arial" w:eastAsia="Arial" w:hAnsi="Arial"/>
          <w:b w:val="false"/>
          <w:bCs w:val="false"/>
          <w:color w:val="1C2833"/>
          <w:sz w:val="22"/>
          <w:szCs w:val="22"/>
        </w:rPr>
        <w:t xml:space="preserve">Step 4 — NAT Traversal via STUN/TURN: Most candidates sit behind NAT routers (home broadband, mobile hotspots, college firewalls). STUN discovers the public IP; TURN (coturn) relays traffic when direct connection fails.</w:t>
      </w:r>
    </w:p>
    <w:p>
      <w:pPr>
        <w:pStyle w:val="ListParagraph"/>
        <w:numPr>
          <w:ilvl w:val="0"/>
          <w:numId w:val="2"/>
        </w:numPr>
        <w:spacing w:after="40" w:before="40"/>
      </w:pPr>
      <w:r>
        <w:rPr>
          <w:rFonts w:ascii="Arial" w:cs="Arial" w:eastAsia="Arial" w:hAnsi="Arial"/>
          <w:b w:val="false"/>
          <w:bCs w:val="false"/>
          <w:color w:val="1C2833"/>
          <w:sz w:val="22"/>
          <w:szCs w:val="22"/>
        </w:rPr>
        <w:t xml:space="preserve">Step 5 — Encrypted Audio Flow: All audio is encrypted using SRTP (Secure Real-time Transport Protocol). The backend never has access to raw audio data.</w:t>
      </w:r>
    </w:p>
    <w:p>
      <w:pPr>
        <w:pStyle w:val="ListParagraph"/>
        <w:numPr>
          <w:ilvl w:val="0"/>
          <w:numId w:val="2"/>
        </w:numPr>
        <w:spacing w:after="40" w:before="40"/>
      </w:pPr>
      <w:r>
        <w:rPr>
          <w:rFonts w:ascii="Arial" w:cs="Arial" w:eastAsia="Arial" w:hAnsi="Arial"/>
          <w:b w:val="false"/>
          <w:bCs w:val="false"/>
          <w:color w:val="1C2833"/>
          <w:sz w:val="22"/>
          <w:szCs w:val="22"/>
        </w:rPr>
        <w:t xml:space="preserve">Step 6 — Programmatic Mute/Unmute: The backend sends a command to Jitsi's API, which instructs the browser to toggle its MediaTrack enabled state. This is a software-level mute — the microphone hardware continues to operate but the audio stream is blocked.</w:t>
      </w:r>
    </w:p>
    <w:p>
      <w:pPr>
        <w:pStyle w:val="ListParagraph"/>
        <w:numPr>
          <w:ilvl w:val="0"/>
          <w:numId w:val="2"/>
        </w:numPr>
        <w:spacing w:after="40" w:before="40"/>
      </w:pPr>
      <w:r>
        <w:rPr>
          <w:rFonts w:ascii="Arial" w:cs="Arial" w:eastAsia="Arial" w:hAnsi="Arial"/>
          <w:b w:val="false"/>
          <w:bCs w:val="false"/>
          <w:color w:val="1C2833"/>
          <w:sz w:val="22"/>
          <w:szCs w:val="22"/>
        </w:rPr>
        <w:t xml:space="preserve">Step 7 — Connection Teardown: At session end, the backend issues a room termination command. All peer connections are closed, streams are destroyed, and resources are released.</w:t>
      </w:r>
    </w:p>
    <w:p>
      <w:pPr>
        <w:spacing w:after="100" w:before="200"/>
      </w:pPr>
      <w:r>
        <w:rPr>
          <w:rFonts w:ascii="Arial" w:cs="Arial" w:eastAsia="Arial" w:hAnsi="Arial"/>
          <w:b/>
          <w:bCs/>
          <w:color w:val="1A5276"/>
          <w:sz w:val="22"/>
          <w:szCs w:val="22"/>
        </w:rPr>
        <w:t xml:space="preserve">Privacy Architecture</w:t>
      </w:r>
    </w:p>
    <w:p>
      <w:pPr>
        <w:spacing w:after="80" w:before="60"/>
      </w:pPr>
      <w:r>
        <w:rPr>
          <w:rFonts w:ascii="Arial" w:cs="Arial" w:eastAsia="Arial" w:hAnsi="Arial"/>
          <w:color w:val="1C2833"/>
          <w:sz w:val="22"/>
          <w:szCs w:val="22"/>
        </w:rPr>
        <w:t xml:space="preserve">A critical feature trainers must emphasize: the backend never accesses raw audio. Audio flows from candidate browser → Jitsi SFU → other candidate browsers. The backend controls the gates but cannot 'hear' the conversation. This is intentional by design and eliminates GDPR/data-sovereignty concerns around voice recording.</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Walk through all seven WebRTC steps in sequence with correct terminology</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SRTP encryption and why the backend cannot access audio</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what happens when a candidate's NAT traversal fails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why no app installation is required</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2.4  Session Orchestrator — The Backend State Machine</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The Session Orchestrator is the central intelligence of the system. It is a backend service implemented in Node.js or Spring Boot, using Redis as the state store and WebSockets for real-time communication. It controls every moment of a GD session.</w:t>
      </w:r>
    </w:p>
    <w:p>
      <w:pPr>
        <w:spacing w:after="100" w:before="200"/>
      </w:pPr>
      <w:r>
        <w:rPr>
          <w:rFonts w:ascii="Arial" w:cs="Arial" w:eastAsia="Arial" w:hAnsi="Arial"/>
          <w:b/>
          <w:bCs/>
          <w:color w:val="1A5276"/>
          <w:sz w:val="22"/>
          <w:szCs w:val="22"/>
        </w:rPr>
        <w:t xml:space="preserve">In-Depth Description</w:t>
      </w:r>
    </w:p>
    <w:p>
      <w:pPr>
        <w:spacing w:after="80" w:before="60"/>
      </w:pPr>
      <w:r>
        <w:rPr>
          <w:rFonts w:ascii="Arial" w:cs="Arial" w:eastAsia="Arial" w:hAnsi="Arial"/>
          <w:color w:val="1C2833"/>
          <w:sz w:val="22"/>
          <w:szCs w:val="22"/>
        </w:rPr>
        <w:t xml:space="preserve">The orchestrator's responsibilities can be grouped into six domains:</w:t>
      </w:r>
    </w:p>
    <w:p>
      <w:pPr>
        <w:pStyle w:val="ListParagraph"/>
        <w:numPr>
          <w:ilvl w:val="0"/>
          <w:numId w:val="2"/>
        </w:numPr>
        <w:spacing w:after="40" w:before="40"/>
      </w:pPr>
      <w:r>
        <w:rPr>
          <w:rFonts w:ascii="Arial" w:cs="Arial" w:eastAsia="Arial" w:hAnsi="Arial"/>
          <w:b w:val="false"/>
          <w:bCs w:val="false"/>
          <w:color w:val="1C2833"/>
          <w:sz w:val="22"/>
          <w:szCs w:val="22"/>
        </w:rPr>
        <w:t xml:space="preserve">Room Creation: Rooms are generated with deterministic names based on a formula combining topic, date, and batch ID (e.g., gd_banking_20240206_1234). This naming convention makes rooms auditable and traceable. No human creates or names rooms manually.</w:t>
      </w:r>
    </w:p>
    <w:p>
      <w:pPr>
        <w:pStyle w:val="ListParagraph"/>
        <w:numPr>
          <w:ilvl w:val="0"/>
          <w:numId w:val="2"/>
        </w:numPr>
        <w:spacing w:after="40" w:before="40"/>
      </w:pPr>
      <w:r>
        <w:rPr>
          <w:rFonts w:ascii="Arial" w:cs="Arial" w:eastAsia="Arial" w:hAnsi="Arial"/>
          <w:b w:val="false"/>
          <w:bCs w:val="false"/>
          <w:color w:val="1C2833"/>
          <w:sz w:val="22"/>
          <w:szCs w:val="22"/>
        </w:rPr>
        <w:t xml:space="preserve">Participant Ordering: At the moment the join window closes, the orchestrator sorts all connected participants by join timestamp. This ordering is final and immutable. The speaking queue is computed once and never modified.</w:t>
      </w:r>
    </w:p>
    <w:p>
      <w:pPr>
        <w:pStyle w:val="ListParagraph"/>
        <w:numPr>
          <w:ilvl w:val="0"/>
          <w:numId w:val="2"/>
        </w:numPr>
        <w:spacing w:after="40" w:before="40"/>
      </w:pPr>
      <w:r>
        <w:rPr>
          <w:rFonts w:ascii="Arial" w:cs="Arial" w:eastAsia="Arial" w:hAnsi="Arial"/>
          <w:b w:val="false"/>
          <w:bCs w:val="false"/>
          <w:color w:val="1C2833"/>
          <w:sz w:val="22"/>
          <w:szCs w:val="22"/>
        </w:rPr>
        <w:t xml:space="preserve">Speaking Windows: For each speaking turn, the orchestrator sets a timer (e.g., 60 seconds for intro, 30 for rebuttal, 45 for conclusion). When the timer fires, an auto-mute command is issued regardless of whether the candidate was mid-sentence.</w:t>
      </w:r>
    </w:p>
    <w:p>
      <w:pPr>
        <w:pStyle w:val="ListParagraph"/>
        <w:numPr>
          <w:ilvl w:val="0"/>
          <w:numId w:val="2"/>
        </w:numPr>
        <w:spacing w:after="40" w:before="40"/>
      </w:pPr>
      <w:r>
        <w:rPr>
          <w:rFonts w:ascii="Arial" w:cs="Arial" w:eastAsia="Arial" w:hAnsi="Arial"/>
          <w:b w:val="false"/>
          <w:bCs w:val="false"/>
          <w:color w:val="1C2833"/>
          <w:sz w:val="22"/>
          <w:szCs w:val="22"/>
        </w:rPr>
        <w:t xml:space="preserve">Forced Mute/Unmute: The orchestrator issues mute/unmute commands via the Jitsi API. Only one participant is unmuted at any time during structured rounds. All others are hard-muted — candidates cannot unmute themselves.</w:t>
      </w:r>
    </w:p>
    <w:p>
      <w:pPr>
        <w:pStyle w:val="ListParagraph"/>
        <w:numPr>
          <w:ilvl w:val="0"/>
          <w:numId w:val="2"/>
        </w:numPr>
        <w:spacing w:after="40" w:before="40"/>
      </w:pPr>
      <w:r>
        <w:rPr>
          <w:rFonts w:ascii="Arial" w:cs="Arial" w:eastAsia="Arial" w:hAnsi="Arial"/>
          <w:b w:val="false"/>
          <w:bCs w:val="false"/>
          <w:color w:val="1C2833"/>
          <w:sz w:val="22"/>
          <w:szCs w:val="22"/>
        </w:rPr>
        <w:t xml:space="preserve">Session Termination: After all rounds complete, the orchestrator closes the room, saves all event logs to the database, and triggers score calculation.</w:t>
      </w:r>
    </w:p>
    <w:p>
      <w:pPr>
        <w:pStyle w:val="ListParagraph"/>
        <w:numPr>
          <w:ilvl w:val="0"/>
          <w:numId w:val="2"/>
        </w:numPr>
        <w:spacing w:after="40" w:before="40"/>
      </w:pPr>
      <w:r>
        <w:rPr>
          <w:rFonts w:ascii="Arial" w:cs="Arial" w:eastAsia="Arial" w:hAnsi="Arial"/>
          <w:b w:val="false"/>
          <w:bCs w:val="false"/>
          <w:color w:val="1C2833"/>
          <w:sz w:val="22"/>
          <w:szCs w:val="22"/>
        </w:rPr>
        <w:t xml:space="preserve">Failure Handling: Covers network drops (token skipped), mic non-use (logged as silence), user exits (removed from queue), and rejoin attempts (denied permanently). No human intervention or discretionary decisions are ever made.</w:t>
      </w:r>
    </w:p>
    <w:p>
      <w:pPr>
        <w:spacing w:after="100" w:before="200"/>
      </w:pPr>
      <w:r>
        <w:rPr>
          <w:rFonts w:ascii="Arial" w:cs="Arial" w:eastAsia="Arial" w:hAnsi="Arial"/>
          <w:b/>
          <w:bCs/>
          <w:color w:val="1A5276"/>
          <w:sz w:val="22"/>
          <w:szCs w:val="22"/>
        </w:rPr>
        <w:t xml:space="preserve">Technology Stack Details</w:t>
      </w:r>
    </w:p>
    <w:p>
      <w:pPr>
        <w:pStyle w:val="ListParagraph"/>
        <w:numPr>
          <w:ilvl w:val="0"/>
          <w:numId w:val="2"/>
        </w:numPr>
        <w:spacing w:after="40" w:before="40"/>
      </w:pPr>
      <w:r>
        <w:rPr>
          <w:rFonts w:ascii="Arial" w:cs="Arial" w:eastAsia="Arial" w:hAnsi="Arial"/>
          <w:b w:val="false"/>
          <w:bCs w:val="false"/>
          <w:color w:val="1C2833"/>
          <w:sz w:val="22"/>
          <w:szCs w:val="22"/>
        </w:rPr>
        <w:t xml:space="preserve">Node.js or Spring Boot: Application server handling API calls, state transitions, and WebSocket messages</w:t>
      </w:r>
    </w:p>
    <w:p>
      <w:pPr>
        <w:pStyle w:val="ListParagraph"/>
        <w:numPr>
          <w:ilvl w:val="0"/>
          <w:numId w:val="2"/>
        </w:numPr>
        <w:spacing w:after="40" w:before="40"/>
      </w:pPr>
      <w:r>
        <w:rPr>
          <w:rFonts w:ascii="Arial" w:cs="Arial" w:eastAsia="Arial" w:hAnsi="Arial"/>
          <w:b w:val="false"/>
          <w:bCs w:val="false"/>
          <w:color w:val="1C2833"/>
          <w:sz w:val="22"/>
          <w:szCs w:val="22"/>
        </w:rPr>
        <w:t xml:space="preserve">Redis: In-memory state store tracking the current speaking token holder, queue position, timer state, and event log. Redis ensures zero-latency state reads and atomic updates — preventing race conditions where two participants might be unmuted simultaneously</w:t>
      </w:r>
    </w:p>
    <w:p>
      <w:pPr>
        <w:pStyle w:val="ListParagraph"/>
        <w:numPr>
          <w:ilvl w:val="0"/>
          <w:numId w:val="2"/>
        </w:numPr>
        <w:spacing w:after="40" w:before="40"/>
      </w:pPr>
      <w:r>
        <w:rPr>
          <w:rFonts w:ascii="Arial" w:cs="Arial" w:eastAsia="Arial" w:hAnsi="Arial"/>
          <w:b w:val="false"/>
          <w:bCs w:val="false"/>
          <w:color w:val="1C2833"/>
          <w:sz w:val="22"/>
          <w:szCs w:val="22"/>
        </w:rPr>
        <w:t xml:space="preserve">WebSockets: Bidirectional real-time channel between backend and each candidate's browser. Used to push countdown timer updates, round transitions, and mute state changes</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all six orchestrator domains with specific examples</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why Redis is used instead of a traditional database for state</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what happens to a candidate's token if their network drops</w:t>
      </w:r>
    </w:p>
    <w:p>
      <w:pPr>
        <w:pStyle w:val="ListParagraph"/>
        <w:numPr>
          <w:ilvl w:val="0"/>
          <w:numId w:val="2"/>
        </w:numPr>
        <w:spacing w:after="40" w:before="40"/>
      </w:pPr>
      <w:r>
        <w:rPr>
          <w:rFonts w:ascii="Arial" w:cs="Arial" w:eastAsia="Arial" w:hAnsi="Arial"/>
          <w:b w:val="false"/>
          <w:bCs w:val="false"/>
          <w:color w:val="1C2833"/>
          <w:sz w:val="22"/>
          <w:szCs w:val="22"/>
        </w:rPr>
        <w:t xml:space="preserve">Demonstrate how the speaking queue is constructed and whether it can be modified</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2.5  Turn-Based Speaking Engine</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The Turn-Based Speaking Engine replaces the human moderator entirely. It manages the speaking sequence, enforces time limits, and handles every edge case through pre-defined rules rather than human judgment.</w:t>
      </w:r>
    </w:p>
    <w:p>
      <w:pPr>
        <w:spacing w:after="100" w:before="200"/>
      </w:pPr>
      <w:r>
        <w:rPr>
          <w:rFonts w:ascii="Arial" w:cs="Arial" w:eastAsia="Arial" w:hAnsi="Arial"/>
          <w:b/>
          <w:bCs/>
          <w:color w:val="1A5276"/>
          <w:sz w:val="22"/>
          <w:szCs w:val="22"/>
        </w:rPr>
        <w:t xml:space="preserve">In-Depth Description</w:t>
      </w:r>
    </w:p>
    <w:p>
      <w:pPr>
        <w:spacing w:after="80" w:before="60"/>
      </w:pPr>
      <w:r>
        <w:rPr>
          <w:rFonts w:ascii="Arial" w:cs="Arial" w:eastAsia="Arial" w:hAnsi="Arial"/>
          <w:color w:val="1C2833"/>
          <w:sz w:val="22"/>
          <w:szCs w:val="22"/>
        </w:rPr>
        <w:t xml:space="preserve">The engine operates on a token-passing model. At any given moment, exactly one participant holds the speaking token. Only the token holder's microphone is open. All other microphones are hard-muted by the orchestrator.</w:t>
      </w:r>
    </w:p>
    <w:p>
      <w:pPr>
        <w:spacing w:after="80" w:before="60"/>
      </w:pPr>
      <w:r>
        <w:rPr>
          <w:rFonts w:ascii="Arial" w:cs="Arial" w:eastAsia="Arial" w:hAnsi="Arial"/>
          <w:color w:val="1C2833"/>
          <w:sz w:val="22"/>
          <w:szCs w:val="22"/>
        </w:rPr>
        <w:t xml:space="preserve">The conceptual algorithm trainers must be able to articulate:</w:t>
      </w:r>
    </w:p>
    <w:p>
      <w:pPr>
        <w:spacing w:after="80" w:before="60"/>
      </w:pPr>
      <w:r>
        <w:rPr>
          <w:rFonts w:ascii="Arial" w:cs="Arial" w:eastAsia="Arial" w:hAnsi="Arial"/>
          <w:color w:val="1C2833"/>
          <w:sz w:val="22"/>
          <w:szCs w:val="22"/>
        </w:rPr>
        <w:t xml:space="preserve">1. Participants are sorted by join time at session lock. 2. The first participant receives the speaking token and is force-unmuted. 3. A countdown timer starts (duration varies by round type). 4. All other participants are force-muted. 5. When the timer expires, the active participant is auto-muted and the token passes to the next participant in queue. 6. This repeats until all participants have completed their turn for the round. 7. The process repeats for each structured round.</w:t>
      </w:r>
    </w:p>
    <w:p>
      <w:pPr>
        <w:spacing w:after="80" w:before="60"/>
      </w:pPr>
      <w:r>
        <w:rPr>
          <w:rFonts w:ascii="Arial" w:cs="Arial" w:eastAsia="Arial" w:hAnsi="Arial"/>
          <w:color w:val="1C2833"/>
          <w:sz w:val="22"/>
          <w:szCs w:val="22"/>
        </w:rPr>
        <w:t xml:space="preserve">Round-type time allocations:</w:t>
      </w:r>
    </w:p>
    <w:p>
      <w:pPr>
        <w:pStyle w:val="ListParagraph"/>
        <w:numPr>
          <w:ilvl w:val="0"/>
          <w:numId w:val="2"/>
        </w:numPr>
        <w:spacing w:after="40" w:before="40"/>
      </w:pPr>
      <w:r>
        <w:rPr>
          <w:rFonts w:ascii="Arial" w:cs="Arial" w:eastAsia="Arial" w:hAnsi="Arial"/>
          <w:b w:val="false"/>
          <w:bCs w:val="false"/>
          <w:color w:val="1C2833"/>
          <w:sz w:val="22"/>
          <w:szCs w:val="22"/>
        </w:rPr>
        <w:t xml:space="preserve">Introduction Round: 60 seconds — candidate introduces themselves and states initial position on the topic</w:t>
      </w:r>
    </w:p>
    <w:p>
      <w:pPr>
        <w:pStyle w:val="ListParagraph"/>
        <w:numPr>
          <w:ilvl w:val="0"/>
          <w:numId w:val="2"/>
        </w:numPr>
        <w:spacing w:after="40" w:before="40"/>
      </w:pPr>
      <w:r>
        <w:rPr>
          <w:rFonts w:ascii="Arial" w:cs="Arial" w:eastAsia="Arial" w:hAnsi="Arial"/>
          <w:b w:val="false"/>
          <w:bCs w:val="false"/>
          <w:color w:val="1C2833"/>
          <w:sz w:val="22"/>
          <w:szCs w:val="22"/>
        </w:rPr>
        <w:t xml:space="preserve">Rebuttal Round: 30 seconds — candidate responds to a point raised in the discussion (specific points are displayed on-screen)</w:t>
      </w:r>
    </w:p>
    <w:p>
      <w:pPr>
        <w:pStyle w:val="ListParagraph"/>
        <w:numPr>
          <w:ilvl w:val="0"/>
          <w:numId w:val="2"/>
        </w:numPr>
        <w:spacing w:after="40" w:before="40"/>
      </w:pPr>
      <w:r>
        <w:rPr>
          <w:rFonts w:ascii="Arial" w:cs="Arial" w:eastAsia="Arial" w:hAnsi="Arial"/>
          <w:b w:val="false"/>
          <w:bCs w:val="false"/>
          <w:color w:val="1C2833"/>
          <w:sz w:val="22"/>
          <w:szCs w:val="22"/>
        </w:rPr>
        <w:t xml:space="preserve">Conclusion Round: 45 seconds — candidate delivers a closing summary</w:t>
      </w:r>
    </w:p>
    <w:p>
      <w:pPr>
        <w:spacing w:after="100" w:before="200"/>
      </w:pPr>
      <w:r>
        <w:rPr>
          <w:rFonts w:ascii="Arial" w:cs="Arial" w:eastAsia="Arial" w:hAnsi="Arial"/>
          <w:b/>
          <w:bCs/>
          <w:color w:val="1A5276"/>
          <w:sz w:val="22"/>
          <w:szCs w:val="22"/>
        </w:rPr>
        <w:t xml:space="preserve">Open Discussion Round (Hybrid Mode)</w:t>
      </w:r>
    </w:p>
    <w:p>
      <w:pPr>
        <w:spacing w:after="80" w:before="60"/>
      </w:pPr>
      <w:r>
        <w:rPr>
          <w:rFonts w:ascii="Arial" w:cs="Arial" w:eastAsia="Arial" w:hAnsi="Arial"/>
          <w:color w:val="1C2833"/>
          <w:sz w:val="22"/>
          <w:szCs w:val="22"/>
        </w:rPr>
        <w:t xml:space="preserve">After structured rounds, the system enters a hybrid mode. All participants are simultaneously unmuted. However, the system continues to measure speaking duration per participant, log interrupt attempts (detected by analyzing overlapping mic activity signals), and penalize dominance numerically. Freedom exists only under measurement.</w:t>
      </w:r>
    </w:p>
    <w:p>
      <w:pPr>
        <w:spacing w:after="100" w:before="200"/>
      </w:pPr>
      <w:r>
        <w:rPr>
          <w:rFonts w:ascii="Arial" w:cs="Arial" w:eastAsia="Arial" w:hAnsi="Arial"/>
          <w:b/>
          <w:bCs/>
          <w:color w:val="1A5276"/>
          <w:sz w:val="22"/>
          <w:szCs w:val="22"/>
        </w:rPr>
        <w:t xml:space="preserve">Interrupt Attempt Detection</w:t>
      </w:r>
    </w:p>
    <w:p>
      <w:pPr>
        <w:spacing w:after="80" w:before="60"/>
      </w:pPr>
      <w:r>
        <w:rPr>
          <w:rFonts w:ascii="Arial" w:cs="Arial" w:eastAsia="Arial" w:hAnsi="Arial"/>
          <w:color w:val="1C2833"/>
          <w:sz w:val="22"/>
          <w:szCs w:val="22"/>
        </w:rPr>
        <w:t xml:space="preserve">When a participant's browser sends an audio signal while their mic should be muted (hard-muted state), this is logged as an interrupt attempt. The orchestrator counts these events and applies a per-attempt penalty in the scoring formula.</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Recite and explain the token-passing algorithm step by step</w:t>
      </w:r>
    </w:p>
    <w:p>
      <w:pPr>
        <w:pStyle w:val="ListParagraph"/>
        <w:numPr>
          <w:ilvl w:val="0"/>
          <w:numId w:val="2"/>
        </w:numPr>
        <w:spacing w:after="40" w:before="40"/>
      </w:pPr>
      <w:r>
        <w:rPr>
          <w:rFonts w:ascii="Arial" w:cs="Arial" w:eastAsia="Arial" w:hAnsi="Arial"/>
          <w:b w:val="false"/>
          <w:bCs w:val="false"/>
          <w:color w:val="1C2833"/>
          <w:sz w:val="22"/>
          <w:szCs w:val="22"/>
        </w:rPr>
        <w:t xml:space="preserve">State the time allocations for each round type and their rationale</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how interrupt attempts are technically detected and logged</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what happens if a candidate's timer expires while they are speaking</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2.6  Data Capture Architecture (Privacy-by-Design)</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The system captures only behavioral metadata — never audio content, voice recordings, speech text, tone analysis, or accent data. This is a deliberate architectural choice, not a technical limitation.</w:t>
      </w:r>
    </w:p>
    <w:p>
      <w:pPr>
        <w:spacing w:after="100" w:before="200"/>
      </w:pPr>
      <w:r>
        <w:rPr>
          <w:rFonts w:ascii="Arial" w:cs="Arial" w:eastAsia="Arial" w:hAnsi="Arial"/>
          <w:b/>
          <w:bCs/>
          <w:color w:val="1A5276"/>
          <w:sz w:val="22"/>
          <w:szCs w:val="22"/>
        </w:rPr>
        <w:t xml:space="preserve">What is Captured (Complete List)</w:t>
      </w:r>
    </w:p>
    <w:p>
      <w:pPr>
        <w:pStyle w:val="ListParagraph"/>
        <w:numPr>
          <w:ilvl w:val="0"/>
          <w:numId w:val="2"/>
        </w:numPr>
        <w:spacing w:after="40" w:before="40"/>
      </w:pPr>
      <w:r>
        <w:rPr>
          <w:rFonts w:ascii="Arial" w:cs="Arial" w:eastAsia="Arial" w:hAnsi="Arial"/>
          <w:b w:val="false"/>
          <w:bCs w:val="false"/>
          <w:color w:val="1C2833"/>
          <w:sz w:val="22"/>
          <w:szCs w:val="22"/>
        </w:rPr>
        <w:t xml:space="preserve">Mic Open Duration (seconds): Total time the candidate's mic was active and transmitting audio within their assigned token windows</w:t>
      </w:r>
    </w:p>
    <w:p>
      <w:pPr>
        <w:pStyle w:val="ListParagraph"/>
        <w:numPr>
          <w:ilvl w:val="0"/>
          <w:numId w:val="2"/>
        </w:numPr>
        <w:spacing w:after="40" w:before="40"/>
      </w:pPr>
      <w:r>
        <w:rPr>
          <w:rFonts w:ascii="Arial" w:cs="Arial" w:eastAsia="Arial" w:hAnsi="Arial"/>
          <w:b w:val="false"/>
          <w:bCs w:val="false"/>
          <w:color w:val="1C2833"/>
          <w:sz w:val="22"/>
          <w:szCs w:val="22"/>
        </w:rPr>
        <w:t xml:space="preserve">Turns Completed: Count of speaking turns where the candidate's mic was open for any duration greater than zero</w:t>
      </w:r>
    </w:p>
    <w:p>
      <w:pPr>
        <w:pStyle w:val="ListParagraph"/>
        <w:numPr>
          <w:ilvl w:val="0"/>
          <w:numId w:val="2"/>
        </w:numPr>
        <w:spacing w:after="40" w:before="40"/>
      </w:pPr>
      <w:r>
        <w:rPr>
          <w:rFonts w:ascii="Arial" w:cs="Arial" w:eastAsia="Arial" w:hAnsi="Arial"/>
          <w:b w:val="false"/>
          <w:bCs w:val="false"/>
          <w:color w:val="1C2833"/>
          <w:sz w:val="22"/>
          <w:szCs w:val="22"/>
        </w:rPr>
        <w:t xml:space="preserve">Turns Skipped: Count of speaking turns where the candidate's mic remained silent for the full token duration</w:t>
      </w:r>
    </w:p>
    <w:p>
      <w:pPr>
        <w:pStyle w:val="ListParagraph"/>
        <w:numPr>
          <w:ilvl w:val="0"/>
          <w:numId w:val="2"/>
        </w:numPr>
        <w:spacing w:after="40" w:before="40"/>
      </w:pPr>
      <w:r>
        <w:rPr>
          <w:rFonts w:ascii="Arial" w:cs="Arial" w:eastAsia="Arial" w:hAnsi="Arial"/>
          <w:b w:val="false"/>
          <w:bCs w:val="false"/>
          <w:color w:val="1C2833"/>
          <w:sz w:val="22"/>
          <w:szCs w:val="22"/>
        </w:rPr>
        <w:t xml:space="preserve">Interrupt Attempts: Number of times a muted participant's browser sent audio signals</w:t>
      </w:r>
    </w:p>
    <w:p>
      <w:pPr>
        <w:pStyle w:val="ListParagraph"/>
        <w:numPr>
          <w:ilvl w:val="0"/>
          <w:numId w:val="2"/>
        </w:numPr>
        <w:spacing w:after="40" w:before="40"/>
      </w:pPr>
      <w:r>
        <w:rPr>
          <w:rFonts w:ascii="Arial" w:cs="Arial" w:eastAsia="Arial" w:hAnsi="Arial"/>
          <w:b w:val="false"/>
          <w:bCs w:val="false"/>
          <w:color w:val="1C2833"/>
          <w:sz w:val="22"/>
          <w:szCs w:val="22"/>
        </w:rPr>
        <w:t xml:space="preserve">Silence During Token: Duration (in seconds) of silence within an active token window</w:t>
      </w:r>
    </w:p>
    <w:p>
      <w:pPr>
        <w:pStyle w:val="ListParagraph"/>
        <w:numPr>
          <w:ilvl w:val="0"/>
          <w:numId w:val="2"/>
        </w:numPr>
        <w:spacing w:after="40" w:before="40"/>
      </w:pPr>
      <w:r>
        <w:rPr>
          <w:rFonts w:ascii="Arial" w:cs="Arial" w:eastAsia="Arial" w:hAnsi="Arial"/>
          <w:b w:val="false"/>
          <w:bCs w:val="false"/>
          <w:color w:val="1C2833"/>
          <w:sz w:val="22"/>
          <w:szCs w:val="22"/>
        </w:rPr>
        <w:t xml:space="preserve">Network Drops: Count and duration of connectivity interruptions per participant</w:t>
      </w:r>
    </w:p>
    <w:p>
      <w:pPr>
        <w:pStyle w:val="ListParagraph"/>
        <w:numPr>
          <w:ilvl w:val="0"/>
          <w:numId w:val="2"/>
        </w:numPr>
        <w:spacing w:after="40" w:before="40"/>
      </w:pPr>
      <w:r>
        <w:rPr>
          <w:rFonts w:ascii="Arial" w:cs="Arial" w:eastAsia="Arial" w:hAnsi="Arial"/>
          <w:b w:val="false"/>
          <w:bCs w:val="false"/>
          <w:color w:val="1C2833"/>
          <w:sz w:val="22"/>
          <w:szCs w:val="22"/>
        </w:rPr>
        <w:t xml:space="preserve">Early Exits: Timestamp and round number when a participant disconnected before session end</w:t>
      </w:r>
    </w:p>
    <w:p>
      <w:pPr>
        <w:spacing w:after="100" w:before="200"/>
      </w:pPr>
      <w:r>
        <w:rPr>
          <w:rFonts w:ascii="Arial" w:cs="Arial" w:eastAsia="Arial" w:hAnsi="Arial"/>
          <w:b/>
          <w:bCs/>
          <w:color w:val="1A5276"/>
          <w:sz w:val="22"/>
          <w:szCs w:val="22"/>
        </w:rPr>
        <w:t xml:space="preserve">What is Explicitly NOT Captured</w:t>
      </w:r>
    </w:p>
    <w:p>
      <w:pPr>
        <w:pStyle w:val="ListParagraph"/>
        <w:numPr>
          <w:ilvl w:val="0"/>
          <w:numId w:val="2"/>
        </w:numPr>
        <w:spacing w:after="40" w:before="40"/>
      </w:pPr>
      <w:r>
        <w:rPr>
          <w:rFonts w:ascii="Arial" w:cs="Arial" w:eastAsia="Arial" w:hAnsi="Arial"/>
          <w:b w:val="false"/>
          <w:bCs w:val="false"/>
          <w:color w:val="1C2833"/>
          <w:sz w:val="22"/>
          <w:szCs w:val="22"/>
        </w:rPr>
        <w:t xml:space="preserve">Voice recordings or audio files of any kind</w:t>
      </w:r>
    </w:p>
    <w:p>
      <w:pPr>
        <w:pStyle w:val="ListParagraph"/>
        <w:numPr>
          <w:ilvl w:val="0"/>
          <w:numId w:val="2"/>
        </w:numPr>
        <w:spacing w:after="40" w:before="40"/>
      </w:pPr>
      <w:r>
        <w:rPr>
          <w:rFonts w:ascii="Arial" w:cs="Arial" w:eastAsia="Arial" w:hAnsi="Arial"/>
          <w:b w:val="false"/>
          <w:bCs w:val="false"/>
          <w:color w:val="1C2833"/>
          <w:sz w:val="22"/>
          <w:szCs w:val="22"/>
        </w:rPr>
        <w:t xml:space="preserve">Speech content or transcripts</w:t>
      </w:r>
    </w:p>
    <w:p>
      <w:pPr>
        <w:pStyle w:val="ListParagraph"/>
        <w:numPr>
          <w:ilvl w:val="0"/>
          <w:numId w:val="2"/>
        </w:numPr>
        <w:spacing w:after="40" w:before="40"/>
      </w:pPr>
      <w:r>
        <w:rPr>
          <w:rFonts w:ascii="Arial" w:cs="Arial" w:eastAsia="Arial" w:hAnsi="Arial"/>
          <w:b w:val="false"/>
          <w:bCs w:val="false"/>
          <w:color w:val="1C2833"/>
          <w:sz w:val="22"/>
          <w:szCs w:val="22"/>
        </w:rPr>
        <w:t xml:space="preserve">Tone, emotion, sentiment, or confidence analysis</w:t>
      </w:r>
    </w:p>
    <w:p>
      <w:pPr>
        <w:pStyle w:val="ListParagraph"/>
        <w:numPr>
          <w:ilvl w:val="0"/>
          <w:numId w:val="2"/>
        </w:numPr>
        <w:spacing w:after="40" w:before="40"/>
      </w:pPr>
      <w:r>
        <w:rPr>
          <w:rFonts w:ascii="Arial" w:cs="Arial" w:eastAsia="Arial" w:hAnsi="Arial"/>
          <w:b w:val="false"/>
          <w:bCs w:val="false"/>
          <w:color w:val="1C2833"/>
          <w:sz w:val="22"/>
          <w:szCs w:val="22"/>
        </w:rPr>
        <w:t xml:space="preserve">Accent, language pattern, or speech rate data</w:t>
      </w:r>
    </w:p>
    <w:p>
      <w:pPr>
        <w:spacing w:after="80" w:before="60"/>
      </w:pPr>
      <w:r>
        <w:rPr>
          <w:rFonts w:ascii="Arial" w:cs="Arial" w:eastAsia="Arial" w:hAnsi="Arial"/>
          <w:color w:val="1C2833"/>
          <w:sz w:val="22"/>
          <w:szCs w:val="22"/>
        </w:rPr>
        <w:t xml:space="preserve">Trainers must be prepared to answer questions from privacy-conscious institute administrators about GDPR, DPDP Act compliance, and data retention. The answer is straightforward: since no voice data is stored, voice-related privacy regulations have minimal applicability.</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Recite all seven captured data points and explain why each is relevant to evaluation</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the legal and ethical rationale for not capturing audio</w:t>
      </w:r>
    </w:p>
    <w:p>
      <w:pPr>
        <w:pStyle w:val="ListParagraph"/>
        <w:numPr>
          <w:ilvl w:val="0"/>
          <w:numId w:val="2"/>
        </w:numPr>
        <w:spacing w:after="40" w:before="40"/>
      </w:pPr>
      <w:r>
        <w:rPr>
          <w:rFonts w:ascii="Arial" w:cs="Arial" w:eastAsia="Arial" w:hAnsi="Arial"/>
          <w:b w:val="false"/>
          <w:bCs w:val="false"/>
          <w:color w:val="1C2833"/>
          <w:sz w:val="22"/>
          <w:szCs w:val="22"/>
        </w:rPr>
        <w:t xml:space="preserve">Respond to a mock question: 'How do we know the candidate actually spoke?'</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2.7  Rule-Based Scoring Engine</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Scores are computed using a fixed, transparent formula applied to the captured behavioral metadata. No machine learning, no confidence scoring, no personality inference. The score is reproducible — running the formula twice on the same data produces the same result.</w:t>
      </w:r>
    </w:p>
    <w:p>
      <w:pPr>
        <w:spacing w:after="100" w:before="200"/>
      </w:pPr>
      <w:r>
        <w:rPr>
          <w:rFonts w:ascii="Arial" w:cs="Arial" w:eastAsia="Arial" w:hAnsi="Arial"/>
          <w:b/>
          <w:bCs/>
          <w:color w:val="1A5276"/>
          <w:sz w:val="22"/>
          <w:szCs w:val="22"/>
        </w:rPr>
        <w:t xml:space="preserve">Scoring Formula (Detailed)</w:t>
      </w:r>
    </w:p>
    <w:p>
      <w:pPr>
        <w:spacing w:after="80" w:before="60"/>
      </w:pPr>
      <w:r>
        <w:rPr>
          <w:rFonts w:ascii="Arial" w:cs="Arial" w:eastAsia="Arial" w:hAnsi="Arial"/>
          <w:color w:val="1C2833"/>
          <w:sz w:val="22"/>
          <w:szCs w:val="22"/>
        </w:rPr>
        <w:t xml:space="preserve">The base formula structure:</w:t>
      </w:r>
    </w:p>
    <w:p>
      <w:pPr>
        <w:spacing w:after="80" w:before="60"/>
      </w:pPr>
      <w:r>
        <w:rPr>
          <w:rFonts w:ascii="Arial" w:cs="Arial" w:eastAsia="Arial" w:hAnsi="Arial"/>
          <w:color w:val="1C2833"/>
          <w:sz w:val="22"/>
          <w:szCs w:val="22"/>
        </w:rPr>
        <w:t xml:space="preserve">score = (used_all_turns ? +10 : 0) + (spoke_full_time ? +10 : 0) − (interrupt_attempts × 2)</w:t>
      </w:r>
    </w:p>
    <w:p>
      <w:pPr>
        <w:spacing w:after="80" w:before="60"/>
      </w:pPr>
      <w:r>
        <w:rPr>
          <w:rFonts w:ascii="Arial" w:cs="Arial" w:eastAsia="Arial" w:hAnsi="Arial"/>
          <w:color w:val="1C2833"/>
          <w:sz w:val="22"/>
          <w:szCs w:val="22"/>
        </w:rPr>
        <w:t xml:space="preserve">Expanded with all current scoring components:</w:t>
      </w:r>
    </w:p>
    <w:p>
      <w:pPr>
        <w:pStyle w:val="ListParagraph"/>
        <w:numPr>
          <w:ilvl w:val="0"/>
          <w:numId w:val="2"/>
        </w:numPr>
        <w:spacing w:after="40" w:before="40"/>
      </w:pPr>
      <w:r>
        <w:rPr>
          <w:rFonts w:ascii="Arial" w:cs="Arial" w:eastAsia="Arial" w:hAnsi="Arial"/>
          <w:b w:val="false"/>
          <w:bCs w:val="false"/>
          <w:color w:val="1C2833"/>
          <w:sz w:val="22"/>
          <w:szCs w:val="22"/>
        </w:rPr>
        <w:t xml:space="preserve">+10 points: Candidate used all assigned speaking turns (turns completed = total turns)</w:t>
      </w:r>
    </w:p>
    <w:p>
      <w:pPr>
        <w:pStyle w:val="ListParagraph"/>
        <w:numPr>
          <w:ilvl w:val="0"/>
          <w:numId w:val="2"/>
        </w:numPr>
        <w:spacing w:after="40" w:before="40"/>
      </w:pPr>
      <w:r>
        <w:rPr>
          <w:rFonts w:ascii="Arial" w:cs="Arial" w:eastAsia="Arial" w:hAnsi="Arial"/>
          <w:b w:val="false"/>
          <w:bCs w:val="false"/>
          <w:color w:val="1C2833"/>
          <w:sz w:val="22"/>
          <w:szCs w:val="22"/>
        </w:rPr>
        <w:t xml:space="preserve">+10 points: Candidate used 80% or more of total available speaking time (spoke_full_time threshold)</w:t>
      </w:r>
    </w:p>
    <w:p>
      <w:pPr>
        <w:pStyle w:val="ListParagraph"/>
        <w:numPr>
          <w:ilvl w:val="0"/>
          <w:numId w:val="2"/>
        </w:numPr>
        <w:spacing w:after="40" w:before="40"/>
      </w:pPr>
      <w:r>
        <w:rPr>
          <w:rFonts w:ascii="Arial" w:cs="Arial" w:eastAsia="Arial" w:hAnsi="Arial"/>
          <w:b w:val="false"/>
          <w:bCs w:val="false"/>
          <w:color w:val="1C2833"/>
          <w:sz w:val="22"/>
          <w:szCs w:val="22"/>
        </w:rPr>
        <w:t xml:space="preserve">−2 points per interrupt attempt: Each logged interrupt attempt deducts 2 points from the total</w:t>
      </w:r>
    </w:p>
    <w:p>
      <w:pPr>
        <w:pStyle w:val="ListParagraph"/>
        <w:numPr>
          <w:ilvl w:val="0"/>
          <w:numId w:val="2"/>
        </w:numPr>
        <w:spacing w:after="40" w:before="40"/>
      </w:pPr>
      <w:r>
        <w:rPr>
          <w:rFonts w:ascii="Arial" w:cs="Arial" w:eastAsia="Arial" w:hAnsi="Arial"/>
          <w:b w:val="false"/>
          <w:bCs w:val="false"/>
          <w:color w:val="1C2833"/>
          <w:sz w:val="22"/>
          <w:szCs w:val="22"/>
        </w:rPr>
        <w:t xml:space="preserve">+5 points: Candidate was present for all rounds (no early exit)</w:t>
      </w:r>
    </w:p>
    <w:p>
      <w:pPr>
        <w:pStyle w:val="ListParagraph"/>
        <w:numPr>
          <w:ilvl w:val="0"/>
          <w:numId w:val="2"/>
        </w:numPr>
        <w:spacing w:after="40" w:before="40"/>
      </w:pPr>
      <w:r>
        <w:rPr>
          <w:rFonts w:ascii="Arial" w:cs="Arial" w:eastAsia="Arial" w:hAnsi="Arial"/>
          <w:b w:val="false"/>
          <w:bCs w:val="false"/>
          <w:color w:val="1C2833"/>
          <w:sz w:val="22"/>
          <w:szCs w:val="22"/>
        </w:rPr>
        <w:t xml:space="preserve">−5 points: Early exit penalty (deducted once, regardless of when exit occurred)</w:t>
      </w:r>
    </w:p>
    <w:p>
      <w:pPr>
        <w:pStyle w:val="ListParagraph"/>
        <w:numPr>
          <w:ilvl w:val="0"/>
          <w:numId w:val="2"/>
        </w:numPr>
        <w:spacing w:after="40" w:before="40"/>
      </w:pPr>
      <w:r>
        <w:rPr>
          <w:rFonts w:ascii="Arial" w:cs="Arial" w:eastAsia="Arial" w:hAnsi="Arial"/>
          <w:b w:val="false"/>
          <w:bCs w:val="false"/>
          <w:color w:val="1C2833"/>
          <w:sz w:val="22"/>
          <w:szCs w:val="22"/>
        </w:rPr>
        <w:t xml:space="preserve">0 points for network drops: Treated as system events, not penalized (token is skipped; the candidate is not punished for connectivity infrastructure failures)</w:t>
      </w:r>
    </w:p>
    <w:p>
      <w:pPr>
        <w:spacing w:after="100" w:before="200"/>
      </w:pPr>
      <w:r>
        <w:rPr>
          <w:rFonts w:ascii="Arial" w:cs="Arial" w:eastAsia="Arial" w:hAnsi="Arial"/>
          <w:b/>
          <w:bCs/>
          <w:color w:val="1A5276"/>
          <w:sz w:val="22"/>
          <w:szCs w:val="22"/>
        </w:rPr>
        <w:t xml:space="preserve">Auditability and Transparency</w:t>
      </w:r>
    </w:p>
    <w:p>
      <w:pPr>
        <w:spacing w:after="80" w:before="60"/>
      </w:pPr>
      <w:r>
        <w:rPr>
          <w:rFonts w:ascii="Arial" w:cs="Arial" w:eastAsia="Arial" w:hAnsi="Arial"/>
          <w:color w:val="1C2833"/>
          <w:sz w:val="22"/>
          <w:szCs w:val="22"/>
        </w:rPr>
        <w:t xml:space="preserve">Every score is fully auditable. The system stores the raw event log alongside the final score. If an institute disputes a candidate's GD result, the platform can provide a timestamped log showing: when each token was granted, when each mute/unmute command was issued, when mic activity was detected, and the exact calculation steps.</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Reproduce the scoring formula from memory</w:t>
      </w:r>
    </w:p>
    <w:p>
      <w:pPr>
        <w:pStyle w:val="ListParagraph"/>
        <w:numPr>
          <w:ilvl w:val="0"/>
          <w:numId w:val="2"/>
        </w:numPr>
        <w:spacing w:after="40" w:before="40"/>
      </w:pPr>
      <w:r>
        <w:rPr>
          <w:rFonts w:ascii="Arial" w:cs="Arial" w:eastAsia="Arial" w:hAnsi="Arial"/>
          <w:b w:val="false"/>
          <w:bCs w:val="false"/>
          <w:color w:val="1C2833"/>
          <w:sz w:val="22"/>
          <w:szCs w:val="22"/>
        </w:rPr>
        <w:t xml:space="preserve">Calculate the score for a hypothetical candidate scenario (e.g., used 3 of 4 turns, 2 interrupt attempts, no early exit)</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the rationale for not penalizing network drops</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how the score audit trail is accessed and interpreted</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2.8  Failure Handling and Edge Case Management</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Every foreseeable failure scenario has a pre-defined, automated system response. There is no human in the loop, no helpdesk ticket, and no discretionary override. The system is designed to be fully operational in the absence of any human supervisor.</w:t>
      </w:r>
    </w:p>
    <w:p>
      <w:pPr>
        <w:spacing w:after="100" w:before="200"/>
      </w:pPr>
      <w:r>
        <w:rPr>
          <w:rFonts w:ascii="Arial" w:cs="Arial" w:eastAsia="Arial" w:hAnsi="Arial"/>
          <w:b/>
          <w:bCs/>
          <w:color w:val="1A5276"/>
          <w:sz w:val="22"/>
          <w:szCs w:val="22"/>
        </w:rPr>
        <w:t xml:space="preserve">Complete Failure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Failure Scenario</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 on Score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drop during speaking token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skipped. Next participant unmuted immediately.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penalized — network drop logged as system event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Microphone unused during token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token duration logged as silence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 marked as skipped (−10 from spoke_full_time calculation)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exits session early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from speaking queue. Remaining turns voided.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points early exit penalty applied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attempts to rejoin after exit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Rejected. Session remains in progress for others.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additional penalty; early exit already applied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joiner (arrives after join window closes)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Admitted as spectator only. Cannot speak.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 score not generated; marked as incomplete</w:t>
            </w:r>
          </w:p>
        </w:tc>
      </w:tr>
    </w:tbl>
    <w:p>
      <w:pPr>
        <w:spacing w:after="100" w:before="100"/>
      </w:pPr>
      <w:r>
        <w:t xml:space="preserve"/>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Recite the system response and score impact for all five failure scenarios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why rejoin is denied and why this is a fairness measure</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why network drops are not penalized</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2.9  Bandwidth and Deployment Architecture</w:t>
      </w:r>
    </w:p>
    <w:p>
      <w:pPr>
        <w:spacing w:after="100" w:before="200"/>
      </w:pPr>
      <w:r>
        <w:rPr>
          <w:rFonts w:ascii="Arial" w:cs="Arial" w:eastAsia="Arial" w:hAnsi="Arial"/>
          <w:b/>
          <w:bCs/>
          <w:color w:val="1A5276"/>
          <w:sz w:val="22"/>
          <w:szCs w:val="22"/>
        </w:rPr>
        <w:t xml:space="preserve">Feature Overview</w:t>
      </w:r>
    </w:p>
    <w:p>
      <w:pPr>
        <w:spacing w:after="80" w:before="60"/>
      </w:pPr>
      <w:r>
        <w:rPr>
          <w:rFonts w:ascii="Arial" w:cs="Arial" w:eastAsia="Arial" w:hAnsi="Arial"/>
          <w:color w:val="1C2833"/>
          <w:sz w:val="22"/>
          <w:szCs w:val="22"/>
        </w:rPr>
        <w:t xml:space="preserve">The system is designed to operate on a zero-paid-services infrastructure stack. All components are either open-source or available through free-tier cloud offerings.</w:t>
      </w:r>
    </w:p>
    <w:p>
      <w:pPr>
        <w:spacing w:after="100" w:before="200"/>
      </w:pPr>
      <w:r>
        <w:rPr>
          <w:rFonts w:ascii="Arial" w:cs="Arial" w:eastAsia="Arial" w:hAnsi="Arial"/>
          <w:b/>
          <w:bCs/>
          <w:color w:val="1A5276"/>
          <w:sz w:val="22"/>
          <w:szCs w:val="22"/>
        </w:rPr>
        <w:t xml:space="preserve">Bandwidth Profile</w:t>
      </w:r>
    </w:p>
    <w:p>
      <w:pPr>
        <w:pStyle w:val="ListParagraph"/>
        <w:numPr>
          <w:ilvl w:val="0"/>
          <w:numId w:val="2"/>
        </w:numPr>
        <w:spacing w:after="40" w:before="40"/>
      </w:pPr>
      <w:r>
        <w:rPr>
          <w:rFonts w:ascii="Arial" w:cs="Arial" w:eastAsia="Arial" w:hAnsi="Arial"/>
          <w:b w:val="false"/>
          <w:bCs w:val="false"/>
          <w:color w:val="1C2833"/>
          <w:sz w:val="22"/>
          <w:szCs w:val="22"/>
        </w:rPr>
        <w:t xml:space="preserve">Per-user upload: 40–60 kbps (voice-only, no video)</w:t>
      </w:r>
    </w:p>
    <w:p>
      <w:pPr>
        <w:pStyle w:val="ListParagraph"/>
        <w:numPr>
          <w:ilvl w:val="0"/>
          <w:numId w:val="2"/>
        </w:numPr>
        <w:spacing w:after="40" w:before="40"/>
      </w:pPr>
      <w:r>
        <w:rPr>
          <w:rFonts w:ascii="Arial" w:cs="Arial" w:eastAsia="Arial" w:hAnsi="Arial"/>
          <w:b w:val="false"/>
          <w:bCs w:val="false"/>
          <w:color w:val="1C2833"/>
          <w:sz w:val="22"/>
          <w:szCs w:val="22"/>
        </w:rPr>
        <w:t xml:space="preserve">Per-user download: 150–250 kbps for a group of 5–6 participants</w:t>
      </w:r>
    </w:p>
    <w:p>
      <w:pPr>
        <w:pStyle w:val="ListParagraph"/>
        <w:numPr>
          <w:ilvl w:val="0"/>
          <w:numId w:val="2"/>
        </w:numPr>
        <w:spacing w:after="40" w:before="40"/>
      </w:pPr>
      <w:r>
        <w:rPr>
          <w:rFonts w:ascii="Arial" w:cs="Arial" w:eastAsia="Arial" w:hAnsi="Arial"/>
          <w:b w:val="false"/>
          <w:bCs w:val="false"/>
          <w:color w:val="1C2833"/>
          <w:sz w:val="22"/>
          <w:szCs w:val="22"/>
        </w:rPr>
        <w:t xml:space="preserve">Total session bandwidth: approximately 300–400 kbps server-side per concurrent GD room</w:t>
      </w:r>
    </w:p>
    <w:p>
      <w:pPr>
        <w:spacing w:after="80" w:before="60"/>
      </w:pPr>
      <w:r>
        <w:rPr>
          <w:rFonts w:ascii="Arial" w:cs="Arial" w:eastAsia="Arial" w:hAnsi="Arial"/>
          <w:color w:val="1C2833"/>
          <w:sz w:val="22"/>
          <w:szCs w:val="22"/>
        </w:rPr>
        <w:t xml:space="preserve">This bandwidth profile makes the system viable for candidates on mobile data connections (4G) in tier-2 and tier-3 cities — a critical design requirement given the campus recruitment context.</w:t>
      </w:r>
    </w:p>
    <w:p>
      <w:pPr>
        <w:spacing w:after="100" w:before="200"/>
      </w:pPr>
      <w:r>
        <w:rPr>
          <w:rFonts w:ascii="Arial" w:cs="Arial" w:eastAsia="Arial" w:hAnsi="Arial"/>
          <w:b/>
          <w:bCs/>
          <w:color w:val="1A5276"/>
          <w:sz w:val="22"/>
          <w:szCs w:val="22"/>
        </w:rPr>
        <w:t xml:space="preserve">Full Deployment Stack</w:t>
      </w:r>
    </w:p>
    <w:p>
      <w:pPr>
        <w:pStyle w:val="ListParagraph"/>
        <w:numPr>
          <w:ilvl w:val="0"/>
          <w:numId w:val="2"/>
        </w:numPr>
        <w:spacing w:after="40" w:before="40"/>
      </w:pPr>
      <w:r>
        <w:rPr>
          <w:rFonts w:ascii="Arial" w:cs="Arial" w:eastAsia="Arial" w:hAnsi="Arial"/>
          <w:b w:val="false"/>
          <w:bCs w:val="false"/>
          <w:color w:val="1C2833"/>
          <w:sz w:val="22"/>
          <w:szCs w:val="22"/>
        </w:rPr>
        <w:t xml:space="preserve">Media Transport: WebRTC + Jitsi (self-hosted)</w:t>
      </w:r>
    </w:p>
    <w:p>
      <w:pPr>
        <w:pStyle w:val="ListParagraph"/>
        <w:numPr>
          <w:ilvl w:val="0"/>
          <w:numId w:val="2"/>
        </w:numPr>
        <w:spacing w:after="40" w:before="40"/>
      </w:pPr>
      <w:r>
        <w:rPr>
          <w:rFonts w:ascii="Arial" w:cs="Arial" w:eastAsia="Arial" w:hAnsi="Arial"/>
          <w:b w:val="false"/>
          <w:bCs w:val="false"/>
          <w:color w:val="1C2833"/>
          <w:sz w:val="22"/>
          <w:szCs w:val="22"/>
        </w:rPr>
        <w:t xml:space="preserve">Signaling: WebSocket server (Node.js)</w:t>
      </w:r>
    </w:p>
    <w:p>
      <w:pPr>
        <w:pStyle w:val="ListParagraph"/>
        <w:numPr>
          <w:ilvl w:val="0"/>
          <w:numId w:val="2"/>
        </w:numPr>
        <w:spacing w:after="40" w:before="40"/>
      </w:pPr>
      <w:r>
        <w:rPr>
          <w:rFonts w:ascii="Arial" w:cs="Arial" w:eastAsia="Arial" w:hAnsi="Arial"/>
          <w:b w:val="false"/>
          <w:bCs w:val="false"/>
          <w:color w:val="1C2833"/>
          <w:sz w:val="22"/>
          <w:szCs w:val="22"/>
        </w:rPr>
        <w:t xml:space="preserve">State Management: Redis (in-memory)</w:t>
      </w:r>
    </w:p>
    <w:p>
      <w:pPr>
        <w:pStyle w:val="ListParagraph"/>
        <w:numPr>
          <w:ilvl w:val="0"/>
          <w:numId w:val="2"/>
        </w:numPr>
        <w:spacing w:after="40" w:before="40"/>
      </w:pPr>
      <w:r>
        <w:rPr>
          <w:rFonts w:ascii="Arial" w:cs="Arial" w:eastAsia="Arial" w:hAnsi="Arial"/>
          <w:b w:val="false"/>
          <w:bCs w:val="false"/>
          <w:color w:val="1C2833"/>
          <w:sz w:val="22"/>
          <w:szCs w:val="22"/>
        </w:rPr>
        <w:t xml:space="preserve">NAT Traversal: coturn (open-source TURN server)</w:t>
      </w:r>
    </w:p>
    <w:p>
      <w:pPr>
        <w:pStyle w:val="ListParagraph"/>
        <w:numPr>
          <w:ilvl w:val="0"/>
          <w:numId w:val="2"/>
        </w:numPr>
        <w:spacing w:after="40" w:before="40"/>
      </w:pPr>
      <w:r>
        <w:rPr>
          <w:rFonts w:ascii="Arial" w:cs="Arial" w:eastAsia="Arial" w:hAnsi="Arial"/>
          <w:b w:val="false"/>
          <w:bCs w:val="false"/>
          <w:color w:val="1C2833"/>
          <w:sz w:val="22"/>
          <w:szCs w:val="22"/>
        </w:rPr>
        <w:t xml:space="preserve">Hosting: Oracle Cloud Free Tier (4 OCPU, 24 GB RAM — sufficient for concurrent sessions)</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Recite the bandwidth numbers and explain their significance for low-bandwidth users</w:t>
      </w:r>
    </w:p>
    <w:p>
      <w:pPr>
        <w:pStyle w:val="ListParagraph"/>
        <w:numPr>
          <w:ilvl w:val="0"/>
          <w:numId w:val="2"/>
        </w:numPr>
        <w:spacing w:after="40" w:before="40"/>
      </w:pPr>
      <w:r>
        <w:rPr>
          <w:rFonts w:ascii="Arial" w:cs="Arial" w:eastAsia="Arial" w:hAnsi="Arial"/>
          <w:b w:val="false"/>
          <w:bCs w:val="false"/>
          <w:color w:val="1C2833"/>
          <w:sz w:val="22"/>
          <w:szCs w:val="22"/>
        </w:rPr>
        <w:t xml:space="preserve">List all five components of the deployment stack and each component's role</w:t>
      </w:r>
    </w:p>
    <w:p>
      <w:pPr>
        <w:spacing w:after="100" w:before="100"/>
      </w:pPr>
      <w:r>
        <w:t xml:space="preserve"/>
      </w:r>
    </w:p>
    <w:p>
      <w:r>
        <w:br w:type="page"/>
      </w:r>
    </w:p>
    <w:p>
      <w:pPr>
        <w:pStyle w:val="Heading1"/>
        <w:pBdr>
          <w:bottom w:val="single" w:color="1A5276" w:sz="6" w:space="1"/>
        </w:pBdr>
        <w:spacing w:after="200" w:before="360"/>
      </w:pPr>
      <w:r>
        <w:rPr>
          <w:rFonts w:ascii="Arial" w:cs="Arial" w:eastAsia="Arial" w:hAnsi="Arial"/>
          <w:b/>
          <w:bCs/>
          <w:color w:val="1A5276"/>
          <w:sz w:val="32"/>
          <w:szCs w:val="32"/>
        </w:rPr>
        <w:t xml:space="preserve">3. MODULE B — SME RECRUITMENT LAYER: IN-DEPTH FEATURE DESCRIPTIONS</w:t>
      </w:r>
    </w:p>
    <w:p>
      <w:pPr>
        <w:spacing w:after="80" w:before="60"/>
      </w:pPr>
      <w:r>
        <w:rPr>
          <w:rFonts w:ascii="Arial" w:cs="Arial" w:eastAsia="Arial" w:hAnsi="Arial"/>
          <w:color w:val="1C2833"/>
          <w:sz w:val="22"/>
          <w:szCs w:val="22"/>
        </w:rPr>
        <w:t xml:space="preserve">The SME (Small and Medium Enterprise) Recruitment Layer is a dedicated subsystem designed to address the unique trust, accountability, and reliability challenges that arise when SMEs participate in campus hiring. Trainers must understand all ten problem-solution pairs, the underlying research rationale, and how each feature integrates with the broader platform.</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3.1  SME-Specific Hiring Hierarchy Design</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Enterprise-grade recruitment platforms assume a formal HR structure: CHROs, VP of Talent Acquisition, Recruiting Coordinators, etc. SMEs operate with 2–5 person teams where the founder is often the hiring manager, HR manager, and recruiter simultaneously. Forcing SMEs into enterprise workflows creates confusion, delays, and system abandonment.</w:t>
      </w:r>
    </w:p>
    <w:p>
      <w:pPr>
        <w:spacing w:after="100" w:before="200"/>
      </w:pPr>
      <w:r>
        <w:rPr>
          <w:rFonts w:ascii="Arial" w:cs="Arial" w:eastAsia="Arial" w:hAnsi="Arial"/>
          <w:b/>
          <w:bCs/>
          <w:color w:val="1A5276"/>
          <w:sz w:val="22"/>
          <w:szCs w:val="22"/>
        </w:rPr>
        <w:t xml:space="preserve">Feature Design</w:t>
      </w:r>
    </w:p>
    <w:p>
      <w:pPr>
        <w:spacing w:after="80" w:before="60"/>
      </w:pPr>
      <w:r>
        <w:rPr>
          <w:rFonts w:ascii="Arial" w:cs="Arial" w:eastAsia="Arial" w:hAnsi="Arial"/>
          <w:color w:val="1C2833"/>
          <w:sz w:val="22"/>
          <w:szCs w:val="22"/>
        </w:rPr>
        <w:t xml:space="preserve">The system provides an SME-specific role hierarchy with four defined roles: Founder (highest access, final approval authority), HR Manager (posting, shortlisting, offer management), Recruiter (candidate communication, interview scheduling), and Hiring Manager (technical evaluation, feedback submission). Each role has a distinct permission set and workflow, designed to match how real SME hiring decisions are made — not how large enterprise processes are documented.</w:t>
      </w:r>
    </w:p>
    <w:p>
      <w:pPr>
        <w:spacing w:after="100" w:before="200"/>
      </w:pPr>
      <w:r>
        <w:rPr>
          <w:rFonts w:ascii="Arial" w:cs="Arial" w:eastAsia="Arial" w:hAnsi="Arial"/>
          <w:b/>
          <w:bCs/>
          <w:color w:val="1A5276"/>
          <w:sz w:val="22"/>
          <w:szCs w:val="22"/>
        </w:rPr>
        <w:t xml:space="preserve">Access Control Architecture</w:t>
      </w:r>
    </w:p>
    <w:p>
      <w:pPr>
        <w:spacing w:after="80" w:before="60"/>
      </w:pPr>
      <w:r>
        <w:rPr>
          <w:rFonts w:ascii="Arial" w:cs="Arial" w:eastAsia="Arial" w:hAnsi="Arial"/>
          <w:color w:val="1C2833"/>
          <w:sz w:val="22"/>
          <w:szCs w:val="22"/>
        </w:rPr>
        <w:t xml:space="preserve">Role-based access control (RBAC) is implemented at the API level. A recruiter cannot issue an offer letter. A hiring manager cannot approve CTC. The Founder role has override capability but is audited — all founder overrides are timestamped and logged.</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Name all four SME roles and their primary responsibilities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why enterprise HR models do not apply to SMEs</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what happens if a recruiter attempts to issue an offer</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3.2  Mandatory SME Verification and KYC</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SMEs can register on job portals and post positions without any verification. Fake companies, shell entities, and fraudulent job postings are common in the unregulated SME hiring space. Students from tier-2 institutes are particularly vulnerable as they may not have the network to verify company legitimacy independently.</w:t>
      </w:r>
    </w:p>
    <w:p>
      <w:pPr>
        <w:spacing w:after="100" w:before="200"/>
      </w:pPr>
      <w:r>
        <w:rPr>
          <w:rFonts w:ascii="Arial" w:cs="Arial" w:eastAsia="Arial" w:hAnsi="Arial"/>
          <w:b/>
          <w:bCs/>
          <w:color w:val="1A5276"/>
          <w:sz w:val="22"/>
          <w:szCs w:val="22"/>
        </w:rPr>
        <w:t xml:space="preserve">Feature Design</w:t>
      </w:r>
    </w:p>
    <w:p>
      <w:pPr>
        <w:pStyle w:val="ListParagraph"/>
        <w:numPr>
          <w:ilvl w:val="0"/>
          <w:numId w:val="2"/>
        </w:numPr>
        <w:spacing w:after="40" w:before="40"/>
      </w:pPr>
      <w:r>
        <w:rPr>
          <w:rFonts w:ascii="Arial" w:cs="Arial" w:eastAsia="Arial" w:hAnsi="Arial"/>
          <w:b w:val="false"/>
          <w:bCs w:val="false"/>
          <w:color w:val="1C2833"/>
          <w:sz w:val="22"/>
          <w:szCs w:val="22"/>
        </w:rPr>
        <w:t xml:space="preserve">Company KYC Process: SMEs must submit company registration documents (GST certificate, incorporation certificate, or equivalent) before posting jobs. Documents are verified by the platform's compliance team within 48 hours.</w:t>
      </w:r>
    </w:p>
    <w:p>
      <w:pPr>
        <w:pStyle w:val="ListParagraph"/>
        <w:numPr>
          <w:ilvl w:val="0"/>
          <w:numId w:val="2"/>
        </w:numPr>
        <w:spacing w:after="40" w:before="40"/>
      </w:pPr>
      <w:r>
        <w:rPr>
          <w:rFonts w:ascii="Arial" w:cs="Arial" w:eastAsia="Arial" w:hAnsi="Arial"/>
          <w:b w:val="false"/>
          <w:bCs w:val="false"/>
          <w:color w:val="1C2833"/>
          <w:sz w:val="22"/>
          <w:szCs w:val="22"/>
        </w:rPr>
        <w:t xml:space="preserve">Director/Founder Identity Verification: The primary account holder must complete Aadhaar-based identity verification or equivalent government ID verification.</w:t>
      </w:r>
    </w:p>
    <w:p>
      <w:pPr>
        <w:pStyle w:val="ListParagraph"/>
        <w:numPr>
          <w:ilvl w:val="0"/>
          <w:numId w:val="2"/>
        </w:numPr>
        <w:spacing w:after="40" w:before="40"/>
      </w:pPr>
      <w:r>
        <w:rPr>
          <w:rFonts w:ascii="Arial" w:cs="Arial" w:eastAsia="Arial" w:hAnsi="Arial"/>
          <w:b w:val="false"/>
          <w:bCs w:val="false"/>
          <w:color w:val="1C2833"/>
          <w:sz w:val="22"/>
          <w:szCs w:val="22"/>
        </w:rPr>
        <w:t xml:space="preserve">Verification Badge System: Verified SMEs display a trust badge on their profile and job listings. Unverified SMEs are restricted to draft status only.</w:t>
      </w:r>
    </w:p>
    <w:p>
      <w:pPr>
        <w:pStyle w:val="ListParagraph"/>
        <w:numPr>
          <w:ilvl w:val="0"/>
          <w:numId w:val="2"/>
        </w:numPr>
        <w:spacing w:after="40" w:before="40"/>
      </w:pPr>
      <w:r>
        <w:rPr>
          <w:rFonts w:ascii="Arial" w:cs="Arial" w:eastAsia="Arial" w:hAnsi="Arial"/>
          <w:b w:val="false"/>
          <w:bCs w:val="false"/>
          <w:color w:val="1C2833"/>
          <w:sz w:val="22"/>
          <w:szCs w:val="22"/>
        </w:rPr>
        <w:t xml:space="preserve">Re-verification Trigger: If an SME's behavior metrics fall below threshold (see Feature 3.4), re-verification is triggered automatically.</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Walk through the full KYC document submission process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what a 'trust badge' communicates to a student</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what triggers re-verification</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3.3  Immutable Offer Letters with Audit Trail</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SMEs frequently modify offer letters after a candidate has accepted. CTC components are changed, roles are altered, joining dates are shifted, and in worst cases, offers are retracted entirely. Currently, there is no system mechanism to prevent or even record these modifications.</w:t>
      </w:r>
    </w:p>
    <w:p>
      <w:pPr>
        <w:spacing w:after="100" w:before="200"/>
      </w:pPr>
      <w:r>
        <w:rPr>
          <w:rFonts w:ascii="Arial" w:cs="Arial" w:eastAsia="Arial" w:hAnsi="Arial"/>
          <w:b/>
          <w:bCs/>
          <w:color w:val="1A5276"/>
          <w:sz w:val="22"/>
          <w:szCs w:val="22"/>
        </w:rPr>
        <w:t xml:space="preserve">Feature Design</w:t>
      </w:r>
    </w:p>
    <w:p>
      <w:pPr>
        <w:spacing w:after="80" w:before="60"/>
      </w:pPr>
      <w:r>
        <w:rPr>
          <w:rFonts w:ascii="Arial" w:cs="Arial" w:eastAsia="Arial" w:hAnsi="Arial"/>
          <w:color w:val="1C2833"/>
          <w:sz w:val="22"/>
          <w:szCs w:val="22"/>
        </w:rPr>
        <w:t xml:space="preserve">Once an offer letter is approved by the Founder/HR Manager role and digitally issued to a candidate, the document is locked in the system. Any subsequent modification attempt is blocked at the API level. The offer exists in three states:</w:t>
      </w:r>
    </w:p>
    <w:p>
      <w:pPr>
        <w:pStyle w:val="ListParagraph"/>
        <w:numPr>
          <w:ilvl w:val="0"/>
          <w:numId w:val="2"/>
        </w:numPr>
        <w:spacing w:after="40" w:before="40"/>
      </w:pPr>
      <w:r>
        <w:rPr>
          <w:rFonts w:ascii="Arial" w:cs="Arial" w:eastAsia="Arial" w:hAnsi="Arial"/>
          <w:b w:val="false"/>
          <w:bCs w:val="false"/>
          <w:color w:val="1C2833"/>
          <w:sz w:val="22"/>
          <w:szCs w:val="22"/>
        </w:rPr>
        <w:t xml:space="preserve">Draft: Editable by all authorized roles. Not visible to candidates.</w:t>
      </w:r>
    </w:p>
    <w:p>
      <w:pPr>
        <w:pStyle w:val="ListParagraph"/>
        <w:numPr>
          <w:ilvl w:val="0"/>
          <w:numId w:val="2"/>
        </w:numPr>
        <w:spacing w:after="40" w:before="40"/>
      </w:pPr>
      <w:r>
        <w:rPr>
          <w:rFonts w:ascii="Arial" w:cs="Arial" w:eastAsia="Arial" w:hAnsi="Arial"/>
          <w:b w:val="false"/>
          <w:bCs w:val="false"/>
          <w:color w:val="1C2833"/>
          <w:sz w:val="22"/>
          <w:szCs w:val="22"/>
        </w:rPr>
        <w:t xml:space="preserve">Issued: Locked. Visible to candidate. No field can be modified. Modifications require a formal revision request that creates a new document and notifies the candidate.</w:t>
      </w:r>
    </w:p>
    <w:p>
      <w:pPr>
        <w:pStyle w:val="ListParagraph"/>
        <w:numPr>
          <w:ilvl w:val="0"/>
          <w:numId w:val="2"/>
        </w:numPr>
        <w:spacing w:after="40" w:before="40"/>
      </w:pPr>
      <w:r>
        <w:rPr>
          <w:rFonts w:ascii="Arial" w:cs="Arial" w:eastAsia="Arial" w:hAnsi="Arial"/>
          <w:b w:val="false"/>
          <w:bCs w:val="false"/>
          <w:color w:val="1C2833"/>
          <w:sz w:val="22"/>
          <w:szCs w:val="22"/>
        </w:rPr>
        <w:t xml:space="preserve">Accepted/Declined: Terminal state. Archived with full audit trail.</w:t>
      </w:r>
    </w:p>
    <w:p>
      <w:pPr>
        <w:spacing w:after="80" w:before="60"/>
      </w:pPr>
      <w:r>
        <w:rPr>
          <w:rFonts w:ascii="Arial" w:cs="Arial" w:eastAsia="Arial" w:hAnsi="Arial"/>
          <w:color w:val="1C2833"/>
          <w:sz w:val="22"/>
          <w:szCs w:val="22"/>
        </w:rPr>
        <w:t xml:space="preserve">The audit trail captures: who created the offer, who approved it, when it was issued, when the candidate opened it (read receipt), when they accepted or declined, and any revision requests made post-issuance.</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all three offer states and the transition rules between them</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what a candidate sees when a revision request is made after acceptance</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why offer immutability reduces student stress and institute reputational risk</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3.4  SME Reliability Scoring and Behavior Metrics</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After interviewing and shortlisting candidates, some SMEs stop responding — a practice known as 'recruiter ghosting.' There is no accountability mechanism, no penalty, and no historical record that would warn other candidates or institutes.</w:t>
      </w:r>
    </w:p>
    <w:p>
      <w:pPr>
        <w:spacing w:after="100" w:before="200"/>
      </w:pPr>
      <w:r>
        <w:rPr>
          <w:rFonts w:ascii="Arial" w:cs="Arial" w:eastAsia="Arial" w:hAnsi="Arial"/>
          <w:b/>
          <w:bCs/>
          <w:color w:val="1A5276"/>
          <w:sz w:val="22"/>
          <w:szCs w:val="22"/>
        </w:rPr>
        <w:t xml:space="preserve">Feature Design</w:t>
      </w:r>
    </w:p>
    <w:p>
      <w:pPr>
        <w:spacing w:after="80" w:before="60"/>
      </w:pPr>
      <w:r>
        <w:rPr>
          <w:rFonts w:ascii="Arial" w:cs="Arial" w:eastAsia="Arial" w:hAnsi="Arial"/>
          <w:color w:val="1C2833"/>
          <w:sz w:val="22"/>
          <w:szCs w:val="22"/>
        </w:rPr>
        <w:t xml:space="preserve">The system tracks five behavioral metrics for each SME, computed continuously from platform interaction data:</w:t>
      </w:r>
    </w:p>
    <w:p>
      <w:pPr>
        <w:pStyle w:val="ListParagraph"/>
        <w:numPr>
          <w:ilvl w:val="0"/>
          <w:numId w:val="2"/>
        </w:numPr>
        <w:spacing w:after="40" w:before="40"/>
      </w:pPr>
      <w:r>
        <w:rPr>
          <w:rFonts w:ascii="Arial" w:cs="Arial" w:eastAsia="Arial" w:hAnsi="Arial"/>
          <w:b w:val="false"/>
          <w:bCs w:val="false"/>
          <w:color w:val="1C2833"/>
          <w:sz w:val="22"/>
          <w:szCs w:val="22"/>
        </w:rPr>
        <w:t xml:space="preserve">Response Time Score: Average time from candidate application to SME response (shortlist, reject, or hold). Scored 0–100, with &lt; 48 hours = 100.</w:t>
      </w:r>
    </w:p>
    <w:p>
      <w:pPr>
        <w:pStyle w:val="ListParagraph"/>
        <w:numPr>
          <w:ilvl w:val="0"/>
          <w:numId w:val="2"/>
        </w:numPr>
        <w:spacing w:after="40" w:before="40"/>
      </w:pPr>
      <w:r>
        <w:rPr>
          <w:rFonts w:ascii="Arial" w:cs="Arial" w:eastAsia="Arial" w:hAnsi="Arial"/>
          <w:b w:val="false"/>
          <w:bCs w:val="false"/>
          <w:color w:val="1C2833"/>
          <w:sz w:val="22"/>
          <w:szCs w:val="22"/>
        </w:rPr>
        <w:t xml:space="preserve">Interview Completion Rate: Percentage of scheduled interviews that were actually conducted. Cancellation within 24 hours counts as incomplete.</w:t>
      </w:r>
    </w:p>
    <w:p>
      <w:pPr>
        <w:pStyle w:val="ListParagraph"/>
        <w:numPr>
          <w:ilvl w:val="0"/>
          <w:numId w:val="2"/>
        </w:numPr>
        <w:spacing w:after="40" w:before="40"/>
      </w:pPr>
      <w:r>
        <w:rPr>
          <w:rFonts w:ascii="Arial" w:cs="Arial" w:eastAsia="Arial" w:hAnsi="Arial"/>
          <w:b w:val="false"/>
          <w:bCs w:val="false"/>
          <w:color w:val="1C2833"/>
          <w:sz w:val="22"/>
          <w:szCs w:val="22"/>
        </w:rPr>
        <w:t xml:space="preserve">Offer Closure Rate: Percentage of candidates who completed all interview rounds and received a final decision (offer or rejection). No-decision = negative signal.</w:t>
      </w:r>
    </w:p>
    <w:p>
      <w:pPr>
        <w:pStyle w:val="ListParagraph"/>
        <w:numPr>
          <w:ilvl w:val="0"/>
          <w:numId w:val="2"/>
        </w:numPr>
        <w:spacing w:after="40" w:before="40"/>
      </w:pPr>
      <w:r>
        <w:rPr>
          <w:rFonts w:ascii="Arial" w:cs="Arial" w:eastAsia="Arial" w:hAnsi="Arial"/>
          <w:b w:val="false"/>
          <w:bCs w:val="false"/>
          <w:color w:val="1C2833"/>
          <w:sz w:val="22"/>
          <w:szCs w:val="22"/>
        </w:rPr>
        <w:t xml:space="preserve">Post-Offer Follow-Through Rate: Percentage of issued offers where the candidate actually joined (requires post-joining confirmation — see Feature 3.6).</w:t>
      </w:r>
    </w:p>
    <w:p>
      <w:pPr>
        <w:pStyle w:val="ListParagraph"/>
        <w:numPr>
          <w:ilvl w:val="0"/>
          <w:numId w:val="2"/>
        </w:numPr>
        <w:spacing w:after="40" w:before="40"/>
      </w:pPr>
      <w:r>
        <w:rPr>
          <w:rFonts w:ascii="Arial" w:cs="Arial" w:eastAsia="Arial" w:hAnsi="Arial"/>
          <w:b w:val="false"/>
          <w:bCs w:val="false"/>
          <w:color w:val="1C2833"/>
          <w:sz w:val="22"/>
          <w:szCs w:val="22"/>
        </w:rPr>
        <w:t xml:space="preserve">Communication Quality Index: Frequency and timeliness of messages sent to candidates through the platform portal.</w:t>
      </w:r>
    </w:p>
    <w:p>
      <w:pPr>
        <w:spacing w:after="80" w:before="60"/>
      </w:pPr>
      <w:r>
        <w:rPr>
          <w:rFonts w:ascii="Arial" w:cs="Arial" w:eastAsia="Arial" w:hAnsi="Arial"/>
          <w:color w:val="1C2833"/>
          <w:sz w:val="22"/>
          <w:szCs w:val="22"/>
        </w:rPr>
        <w:t xml:space="preserve">These five metrics combine into an overall SME Reliability Score (0–100), which is displayed publicly on the SME's profile, visible to students and institutes.</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Name and define all five behavioral metrics</w:t>
      </w:r>
    </w:p>
    <w:p>
      <w:pPr>
        <w:pStyle w:val="ListParagraph"/>
        <w:numPr>
          <w:ilvl w:val="0"/>
          <w:numId w:val="2"/>
        </w:numPr>
        <w:spacing w:after="40" w:before="40"/>
      </w:pPr>
      <w:r>
        <w:rPr>
          <w:rFonts w:ascii="Arial" w:cs="Arial" w:eastAsia="Arial" w:hAnsi="Arial"/>
          <w:b w:val="false"/>
          <w:bCs w:val="false"/>
          <w:color w:val="1C2833"/>
          <w:sz w:val="22"/>
          <w:szCs w:val="22"/>
        </w:rPr>
        <w:t xml:space="preserve">Calculate a hypothetical SME reliability score given sample metric values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what score threshold triggers platform action (e.g., restricted posting rights)</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3.5  Salary Truth Validation and CTC Lock</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SMEs often present inflated CTC figures during campus recruitment presentations, then reveal a different structure after joining. Variable pay is over-represented, allowances are removed, and fixed component is lower than communicated.</w:t>
      </w:r>
    </w:p>
    <w:p>
      <w:pPr>
        <w:spacing w:after="100" w:before="200"/>
      </w:pPr>
      <w:r>
        <w:rPr>
          <w:rFonts w:ascii="Arial" w:cs="Arial" w:eastAsia="Arial" w:hAnsi="Arial"/>
          <w:b/>
          <w:bCs/>
          <w:color w:val="1A5276"/>
          <w:sz w:val="22"/>
          <w:szCs w:val="22"/>
        </w:rPr>
        <w:t xml:space="preserve">Feature Design</w:t>
      </w:r>
    </w:p>
    <w:p>
      <w:pPr>
        <w:pStyle w:val="ListParagraph"/>
        <w:numPr>
          <w:ilvl w:val="0"/>
          <w:numId w:val="2"/>
        </w:numPr>
        <w:spacing w:after="40" w:before="40"/>
      </w:pPr>
      <w:r>
        <w:rPr>
          <w:rFonts w:ascii="Arial" w:cs="Arial" w:eastAsia="Arial" w:hAnsi="Arial"/>
          <w:b w:val="false"/>
          <w:bCs w:val="false"/>
          <w:color w:val="1C2833"/>
          <w:sz w:val="22"/>
          <w:szCs w:val="22"/>
        </w:rPr>
        <w:t xml:space="preserve">Salary Range Validation: When an SME posts a job, they must select from platform-defined salary ranges for the role and experience level. Custom CTC entry is permitted but triggers a validation review.</w:t>
      </w:r>
    </w:p>
    <w:p>
      <w:pPr>
        <w:pStyle w:val="ListParagraph"/>
        <w:numPr>
          <w:ilvl w:val="0"/>
          <w:numId w:val="2"/>
        </w:numPr>
        <w:spacing w:after="40" w:before="40"/>
      </w:pPr>
      <w:r>
        <w:rPr>
          <w:rFonts w:ascii="Arial" w:cs="Arial" w:eastAsia="Arial" w:hAnsi="Arial"/>
          <w:b w:val="false"/>
          <w:bCs w:val="false"/>
          <w:color w:val="1C2833"/>
          <w:sz w:val="22"/>
          <w:szCs w:val="22"/>
        </w:rPr>
        <w:t xml:space="preserve">CTC Component Disclosure: The system requires SMEs to disclose CTC breakdown: fixed (monthly), variable (annual target), allowances (HRA, travel, etc.), and benefits (health insurance, PF contribution). All components must sum to the stated CTC.</w:t>
      </w:r>
    </w:p>
    <w:p>
      <w:pPr>
        <w:pStyle w:val="ListParagraph"/>
        <w:numPr>
          <w:ilvl w:val="0"/>
          <w:numId w:val="2"/>
        </w:numPr>
        <w:spacing w:after="40" w:before="40"/>
      </w:pPr>
      <w:r>
        <w:rPr>
          <w:rFonts w:ascii="Arial" w:cs="Arial" w:eastAsia="Arial" w:hAnsi="Arial"/>
          <w:b w:val="false"/>
          <w:bCs w:val="false"/>
          <w:color w:val="1C2833"/>
          <w:sz w:val="22"/>
          <w:szCs w:val="22"/>
        </w:rPr>
        <w:t xml:space="preserve">CTC Freeze on Offer Issuance: Once an offer letter is created, all salary fields are locked. The issued offer cannot reflect a different CTC than what was disclosed at the job posting stage (±5% tolerance permitted, with Founder approval).</w:t>
      </w:r>
    </w:p>
    <w:p>
      <w:pPr>
        <w:pStyle w:val="ListParagraph"/>
        <w:numPr>
          <w:ilvl w:val="0"/>
          <w:numId w:val="2"/>
        </w:numPr>
        <w:spacing w:after="40" w:before="40"/>
      </w:pPr>
      <w:r>
        <w:rPr>
          <w:rFonts w:ascii="Arial" w:cs="Arial" w:eastAsia="Arial" w:hAnsi="Arial"/>
          <w:b w:val="false"/>
          <w:bCs w:val="false"/>
          <w:color w:val="1C2833"/>
          <w:sz w:val="22"/>
          <w:szCs w:val="22"/>
        </w:rPr>
        <w:t xml:space="preserve">Historical CTC Accuracy Tracking: Post-joining salary reports (submitted by students at 30/60/90-day checkpoints) are compared to the offer CTC. Significant deviations are flagged and affect the SME reliability score.</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all four CTC components and the disclosure requirement</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the tolerance rule and what happens when it is exceeded</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how post-joining salary reports affect the SME's platform standing</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3.6  Post-Joining Accountability Framework</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Campus placement systems measure success at the offer letter stage. Once a student joins, the recruitment platform loses visibility entirely. Early exits (within 30–90 days) are common but go unreported, leaving future students exposed to the same SME's problematic practices.</w:t>
      </w:r>
    </w:p>
    <w:p>
      <w:pPr>
        <w:spacing w:after="100" w:before="200"/>
      </w:pPr>
      <w:r>
        <w:rPr>
          <w:rFonts w:ascii="Arial" w:cs="Arial" w:eastAsia="Arial" w:hAnsi="Arial"/>
          <w:b/>
          <w:bCs/>
          <w:color w:val="1A5276"/>
          <w:sz w:val="22"/>
          <w:szCs w:val="22"/>
        </w:rPr>
        <w:t xml:space="preserve">Feature Design</w:t>
      </w:r>
    </w:p>
    <w:p>
      <w:pPr>
        <w:spacing w:after="80" w:before="60"/>
      </w:pPr>
      <w:r>
        <w:rPr>
          <w:rFonts w:ascii="Arial" w:cs="Arial" w:eastAsia="Arial" w:hAnsi="Arial"/>
          <w:color w:val="1C2833"/>
          <w:sz w:val="22"/>
          <w:szCs w:val="22"/>
        </w:rPr>
        <w:t xml:space="preserve">The system implements a structured post-joining tracking protocol at three checkpoints:</w:t>
      </w:r>
    </w:p>
    <w:p>
      <w:pPr>
        <w:pStyle w:val="ListParagraph"/>
        <w:numPr>
          <w:ilvl w:val="0"/>
          <w:numId w:val="2"/>
        </w:numPr>
        <w:spacing w:after="40" w:before="40"/>
      </w:pPr>
      <w:r>
        <w:rPr>
          <w:rFonts w:ascii="Arial" w:cs="Arial" w:eastAsia="Arial" w:hAnsi="Arial"/>
          <w:b w:val="false"/>
          <w:bCs w:val="false"/>
          <w:color w:val="1C2833"/>
          <w:sz w:val="22"/>
          <w:szCs w:val="22"/>
        </w:rPr>
        <w:t xml:space="preserve">Day 30 Check-in: Student receives a confidential survey covering onboarding quality, role alignment with offer description, and any salary discrepancies detected.</w:t>
      </w:r>
    </w:p>
    <w:p>
      <w:pPr>
        <w:pStyle w:val="ListParagraph"/>
        <w:numPr>
          <w:ilvl w:val="0"/>
          <w:numId w:val="2"/>
        </w:numPr>
        <w:spacing w:after="40" w:before="40"/>
      </w:pPr>
      <w:r>
        <w:rPr>
          <w:rFonts w:ascii="Arial" w:cs="Arial" w:eastAsia="Arial" w:hAnsi="Arial"/>
          <w:b w:val="false"/>
          <w:bCs w:val="false"/>
          <w:color w:val="1C2833"/>
          <w:sz w:val="22"/>
          <w:szCs w:val="22"/>
        </w:rPr>
        <w:t xml:space="preserve">Day 60 Check-in: Survey covers professional development quality, team dynamics, and intent to continue.</w:t>
      </w:r>
    </w:p>
    <w:p>
      <w:pPr>
        <w:pStyle w:val="ListParagraph"/>
        <w:numPr>
          <w:ilvl w:val="0"/>
          <w:numId w:val="2"/>
        </w:numPr>
        <w:spacing w:after="40" w:before="40"/>
      </w:pPr>
      <w:r>
        <w:rPr>
          <w:rFonts w:ascii="Arial" w:cs="Arial" w:eastAsia="Arial" w:hAnsi="Arial"/>
          <w:b w:val="false"/>
          <w:bCs w:val="false"/>
          <w:color w:val="1C2833"/>
          <w:sz w:val="22"/>
          <w:szCs w:val="22"/>
        </w:rPr>
        <w:t xml:space="preserve">Day 90 Check-in: Final structured survey capturing overall satisfaction, CTC accuracy verification, and dropout reason (if applicable).</w:t>
      </w:r>
    </w:p>
    <w:p>
      <w:pPr>
        <w:spacing w:after="80" w:before="60"/>
      </w:pPr>
      <w:r>
        <w:rPr>
          <w:rFonts w:ascii="Arial" w:cs="Arial" w:eastAsia="Arial" w:hAnsi="Arial"/>
          <w:color w:val="1C2833"/>
          <w:sz w:val="22"/>
          <w:szCs w:val="22"/>
        </w:rPr>
        <w:t xml:space="preserve">All responses are confidential and not shared with the SME employer. Responses are used to compute the Post-Offer Follow-Through Rate (Feature 3.4) and trigger compliance review if patterns of misconduct are detected.</w:t>
      </w:r>
    </w:p>
    <w:p>
      <w:pPr>
        <w:spacing w:after="80" w:before="60"/>
      </w:pPr>
      <w:r>
        <w:rPr>
          <w:rFonts w:ascii="Arial" w:cs="Arial" w:eastAsia="Arial" w:hAnsi="Arial"/>
          <w:color w:val="1C2833"/>
          <w:sz w:val="22"/>
          <w:szCs w:val="22"/>
        </w:rPr>
        <w:t xml:space="preserve">If a student exits before Day 90, they submit a structured dropout form with categorized exit reasons: offer mismatch, CTC discrepancy, toxic environment, role change, personal, or other.</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Name the three checkpoint dates and the purpose of each survey</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why survey responses are not shared with the SME</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how dropout data affects the SME's reliability score</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3.7  AI-Based Offer Fulfillment Risk Prediction</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SMEs withdraw offers due to funding issues, project losses, leadership changes, or business instability. Students accept these offers and decline other opportunities, only to receive a rescission notice weeks before joining. Current systems have no mechanism to warn students of this risk.</w:t>
      </w:r>
    </w:p>
    <w:p>
      <w:pPr>
        <w:spacing w:after="100" w:before="200"/>
      </w:pPr>
      <w:r>
        <w:rPr>
          <w:rFonts w:ascii="Arial" w:cs="Arial" w:eastAsia="Arial" w:hAnsi="Arial"/>
          <w:b/>
          <w:bCs/>
          <w:color w:val="1A5276"/>
          <w:sz w:val="22"/>
          <w:szCs w:val="22"/>
        </w:rPr>
        <w:t xml:space="preserve">Feature Design</w:t>
      </w:r>
    </w:p>
    <w:p>
      <w:pPr>
        <w:spacing w:after="80" w:before="60"/>
      </w:pPr>
      <w:r>
        <w:rPr>
          <w:rFonts w:ascii="Arial" w:cs="Arial" w:eastAsia="Arial" w:hAnsi="Arial"/>
          <w:color w:val="1C2833"/>
          <w:sz w:val="22"/>
          <w:szCs w:val="22"/>
        </w:rPr>
        <w:t xml:space="preserve">The system trains SME-specific AI prediction models (separate from enterprise models) using historical platform data. Three prediction outputs are generated:</w:t>
      </w:r>
    </w:p>
    <w:p>
      <w:pPr>
        <w:pStyle w:val="ListParagraph"/>
        <w:numPr>
          <w:ilvl w:val="0"/>
          <w:numId w:val="2"/>
        </w:numPr>
        <w:spacing w:after="40" w:before="40"/>
      </w:pPr>
      <w:r>
        <w:rPr>
          <w:rFonts w:ascii="Arial" w:cs="Arial" w:eastAsia="Arial" w:hAnsi="Arial"/>
          <w:b w:val="false"/>
          <w:bCs w:val="false"/>
          <w:color w:val="1C2833"/>
          <w:sz w:val="22"/>
          <w:szCs w:val="22"/>
        </w:rPr>
        <w:t xml:space="preserve">Offer Fulfillment Probability: Probability (0–100%) that an issued offer will result in actual joining. Displayed to students as a confidence band (e.g., 'High Confidence' / 'Moderate Risk' / 'Flag: High Risk').</w:t>
      </w:r>
    </w:p>
    <w:p>
      <w:pPr>
        <w:pStyle w:val="ListParagraph"/>
        <w:numPr>
          <w:ilvl w:val="0"/>
          <w:numId w:val="2"/>
        </w:numPr>
        <w:spacing w:after="40" w:before="40"/>
      </w:pPr>
      <w:r>
        <w:rPr>
          <w:rFonts w:ascii="Arial" w:cs="Arial" w:eastAsia="Arial" w:hAnsi="Arial"/>
          <w:b w:val="false"/>
          <w:bCs w:val="false"/>
          <w:color w:val="1C2833"/>
          <w:sz w:val="22"/>
          <w:szCs w:val="22"/>
        </w:rPr>
        <w:t xml:space="preserve">Early Attrition Risk Score: Probability that a student who joins this SME will exit within 90 days. Based on the SME's historical 30/60/90-day survey outcomes.</w:t>
      </w:r>
    </w:p>
    <w:p>
      <w:pPr>
        <w:pStyle w:val="ListParagraph"/>
        <w:numPr>
          <w:ilvl w:val="0"/>
          <w:numId w:val="2"/>
        </w:numPr>
        <w:spacing w:after="40" w:before="40"/>
      </w:pPr>
      <w:r>
        <w:rPr>
          <w:rFonts w:ascii="Arial" w:cs="Arial" w:eastAsia="Arial" w:hAnsi="Arial"/>
          <w:b w:val="false"/>
          <w:bCs w:val="false"/>
          <w:color w:val="1C2833"/>
          <w:sz w:val="22"/>
          <w:szCs w:val="22"/>
        </w:rPr>
        <w:t xml:space="preserve">Hiring Behavior Prediction: Predicted response time and interview completion rate for this SME for the current hiring cycle, based on seasonal patterns and past cycles.</w:t>
      </w:r>
    </w:p>
    <w:p>
      <w:pPr>
        <w:spacing w:after="80" w:before="60"/>
      </w:pPr>
      <w:r>
        <w:rPr>
          <w:rFonts w:ascii="Arial" w:cs="Arial" w:eastAsia="Arial" w:hAnsi="Arial"/>
          <w:color w:val="1C2833"/>
          <w:sz w:val="22"/>
          <w:szCs w:val="22"/>
        </w:rPr>
        <w:t xml:space="preserve">Risk flags are surfaced to students in the job listing UI before they apply. Institutes can see aggregated risk scores for all SMEs in their placement partner list.</w:t>
      </w:r>
    </w:p>
    <w:p>
      <w:pPr>
        <w:spacing w:after="100" w:before="200"/>
      </w:pPr>
      <w:r>
        <w:rPr>
          <w:rFonts w:ascii="Arial" w:cs="Arial" w:eastAsia="Arial" w:hAnsi="Arial"/>
          <w:b/>
          <w:bCs/>
          <w:color w:val="1A5276"/>
          <w:sz w:val="22"/>
          <w:szCs w:val="22"/>
        </w:rPr>
        <w:t xml:space="preserve">Why SME-Specific Models Are Required</w:t>
      </w:r>
    </w:p>
    <w:p>
      <w:pPr>
        <w:spacing w:after="80" w:before="60"/>
      </w:pPr>
      <w:r>
        <w:rPr>
          <w:rFonts w:ascii="Arial" w:cs="Arial" w:eastAsia="Arial" w:hAnsi="Arial"/>
          <w:color w:val="1C2833"/>
          <w:sz w:val="22"/>
          <w:szCs w:val="22"/>
        </w:rPr>
        <w:t xml:space="preserve">Enterprise AI hiring models are trained on structured, high-volume data from large organizations with stable hiring cycles. SME hiring is episodic, low-volume, and highly variable. Training a single model on combined enterprise-SME data results in the SME patterns being drowned out by the enterprise majority. Separate SME models ensure the signals that matter for small companies — funding round status, founder LinkedIn activity, project pipeline health — are appropriately weighted.</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Name and explain all three AI prediction outputs</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why SME-specific models are trained separately from enterprise models</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how risk flags are displayed to students and institutes</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3.8  Transparent Trust Dashboards</w:t>
      </w:r>
    </w:p>
    <w:p>
      <w:pPr>
        <w:spacing w:after="100" w:before="200"/>
      </w:pPr>
      <w:r>
        <w:rPr>
          <w:rFonts w:ascii="Arial" w:cs="Arial" w:eastAsia="Arial" w:hAnsi="Arial"/>
          <w:b/>
          <w:bCs/>
          <w:color w:val="1A5276"/>
          <w:sz w:val="22"/>
          <w:szCs w:val="22"/>
        </w:rPr>
        <w:t xml:space="preserve">Problem Being Solved</w:t>
      </w:r>
    </w:p>
    <w:p>
      <w:pPr>
        <w:spacing w:after="80" w:before="60"/>
      </w:pPr>
      <w:r>
        <w:rPr>
          <w:rFonts w:ascii="Arial" w:cs="Arial" w:eastAsia="Arial" w:hAnsi="Arial"/>
          <w:color w:val="1C2833"/>
          <w:sz w:val="22"/>
          <w:szCs w:val="22"/>
        </w:rPr>
        <w:t xml:space="preserve">Students accept SME offers without visibility into the company's track record. Parents have no way to evaluate whether their child's future employer is reliable. Institutes have no system to distinguish high-risk SMEs from trusted placement partners.</w:t>
      </w:r>
    </w:p>
    <w:p>
      <w:pPr>
        <w:spacing w:after="100" w:before="200"/>
      </w:pPr>
      <w:r>
        <w:rPr>
          <w:rFonts w:ascii="Arial" w:cs="Arial" w:eastAsia="Arial" w:hAnsi="Arial"/>
          <w:b/>
          <w:bCs/>
          <w:color w:val="1A5276"/>
          <w:sz w:val="22"/>
          <w:szCs w:val="22"/>
        </w:rPr>
        <w:t xml:space="preserve">Feature Design</w:t>
      </w:r>
    </w:p>
    <w:p>
      <w:pPr>
        <w:spacing w:after="80" w:before="60"/>
      </w:pPr>
      <w:r>
        <w:rPr>
          <w:rFonts w:ascii="Arial" w:cs="Arial" w:eastAsia="Arial" w:hAnsi="Arial"/>
          <w:color w:val="1C2833"/>
          <w:sz w:val="22"/>
          <w:szCs w:val="22"/>
        </w:rPr>
        <w:t xml:space="preserve">Three dashboard views are provided:</w:t>
      </w:r>
    </w:p>
    <w:p>
      <w:pPr>
        <w:pStyle w:val="ListParagraph"/>
        <w:numPr>
          <w:ilvl w:val="0"/>
          <w:numId w:val="2"/>
        </w:numPr>
        <w:spacing w:after="40" w:before="40"/>
      </w:pPr>
      <w:r>
        <w:rPr>
          <w:rFonts w:ascii="Arial" w:cs="Arial" w:eastAsia="Arial" w:hAnsi="Arial"/>
          <w:b w:val="false"/>
          <w:bCs w:val="false"/>
          <w:color w:val="1C2833"/>
          <w:sz w:val="22"/>
          <w:szCs w:val="22"/>
        </w:rPr>
        <w:t xml:space="preserve">Student-Facing View: Shows the SME's overall reliability score, offer fulfillment rate, average response time, and aggregated student satisfaction ratings (anonymized). Displayed prominently on the job listing page before the student applies.</w:t>
      </w:r>
    </w:p>
    <w:p>
      <w:pPr>
        <w:pStyle w:val="ListParagraph"/>
        <w:numPr>
          <w:ilvl w:val="0"/>
          <w:numId w:val="2"/>
        </w:numPr>
        <w:spacing w:after="40" w:before="40"/>
      </w:pPr>
      <w:r>
        <w:rPr>
          <w:rFonts w:ascii="Arial" w:cs="Arial" w:eastAsia="Arial" w:hAnsi="Arial"/>
          <w:b w:val="false"/>
          <w:bCs w:val="false"/>
          <w:color w:val="1C2833"/>
          <w:sz w:val="22"/>
          <w:szCs w:val="22"/>
        </w:rPr>
        <w:t xml:space="preserve">Institute/Training Center View: Shows all SMEs in the institute's placement network with reliability scores, offer withdrawal history, post-joining retention rates, and the AI risk prediction for the current hiring cycle. Enables institutes to make informed decisions about which SMEs to approve for campus drives.</w:t>
      </w:r>
    </w:p>
    <w:p>
      <w:pPr>
        <w:pStyle w:val="ListParagraph"/>
        <w:numPr>
          <w:ilvl w:val="0"/>
          <w:numId w:val="2"/>
        </w:numPr>
        <w:spacing w:after="40" w:before="40"/>
      </w:pPr>
      <w:r>
        <w:rPr>
          <w:rFonts w:ascii="Arial" w:cs="Arial" w:eastAsia="Arial" w:hAnsi="Arial"/>
          <w:b w:val="false"/>
          <w:bCs w:val="false"/>
          <w:color w:val="1C2833"/>
          <w:sz w:val="22"/>
          <w:szCs w:val="22"/>
        </w:rPr>
        <w:t xml:space="preserve">Parent Portal View (if enabled): Shows a simplified version of the employer trust score and verified employment status. Parents can see whether the issued offer is verified and immutable, and whether the SME has a strong fulfillment track record.</w:t>
      </w:r>
    </w:p>
    <w:p>
      <w:pPr>
        <w:spacing w:after="100" w:before="200"/>
      </w:pPr>
      <w:r>
        <w:rPr>
          <w:rFonts w:ascii="Arial" w:cs="Arial" w:eastAsia="Arial" w:hAnsi="Arial"/>
          <w:b/>
          <w:bCs/>
          <w:color w:val="1A5276"/>
          <w:sz w:val="22"/>
          <w:szCs w:val="22"/>
        </w:rPr>
        <w:t xml:space="preserve">Trainer Validation Requirements</w:t>
      </w:r>
    </w:p>
    <w:p>
      <w:pPr>
        <w:pStyle w:val="ListParagraph"/>
        <w:numPr>
          <w:ilvl w:val="0"/>
          <w:numId w:val="2"/>
        </w:numPr>
        <w:spacing w:after="40" w:before="40"/>
      </w:pPr>
      <w:r>
        <w:rPr>
          <w:rFonts w:ascii="Arial" w:cs="Arial" w:eastAsia="Arial" w:hAnsi="Arial"/>
          <w:b w:val="false"/>
          <w:bCs w:val="false"/>
          <w:color w:val="1C2833"/>
          <w:sz w:val="22"/>
          <w:szCs w:val="22"/>
        </w:rPr>
        <w:t xml:space="preserve">Describe all three dashboard views and their intended audience</w:t>
      </w:r>
    </w:p>
    <w:p>
      <w:pPr>
        <w:pStyle w:val="ListParagraph"/>
        <w:numPr>
          <w:ilvl w:val="0"/>
          <w:numId w:val="2"/>
        </w:numPr>
        <w:spacing w:after="40" w:before="40"/>
      </w:pPr>
      <w:r>
        <w:rPr>
          <w:rFonts w:ascii="Arial" w:cs="Arial" w:eastAsia="Arial" w:hAnsi="Arial"/>
          <w:b w:val="false"/>
          <w:bCs w:val="false"/>
          <w:color w:val="1C2833"/>
          <w:sz w:val="22"/>
          <w:szCs w:val="22"/>
        </w:rPr>
        <w:t xml:space="preserve">Explain which data elements appear in each view and why certain data is restricted</w:t>
      </w:r>
    </w:p>
    <w:p>
      <w:pPr>
        <w:pStyle w:val="ListParagraph"/>
        <w:numPr>
          <w:ilvl w:val="0"/>
          <w:numId w:val="2"/>
        </w:numPr>
        <w:spacing w:after="40" w:before="40"/>
      </w:pPr>
      <w:r>
        <w:rPr>
          <w:rFonts w:ascii="Arial" w:cs="Arial" w:eastAsia="Arial" w:hAnsi="Arial"/>
          <w:b w:val="false"/>
          <w:bCs w:val="false"/>
          <w:color w:val="1C2833"/>
          <w:sz w:val="22"/>
          <w:szCs w:val="22"/>
        </w:rPr>
        <w:t xml:space="preserve">Demonstrate how an institute would use the dashboard to remove an SME from their approved list</w:t>
      </w:r>
    </w:p>
    <w:p>
      <w:pPr>
        <w:spacing w:after="100" w:before="100"/>
      </w:pPr>
      <w:r>
        <w:t xml:space="preserve"/>
      </w:r>
    </w:p>
    <w:p>
      <w:r>
        <w:br w:type="page"/>
      </w:r>
    </w:p>
    <w:p>
      <w:pPr>
        <w:pStyle w:val="Heading1"/>
        <w:pBdr>
          <w:bottom w:val="single" w:color="1A5276" w:sz="6" w:space="1"/>
        </w:pBdr>
        <w:spacing w:after="200" w:before="360"/>
      </w:pPr>
      <w:r>
        <w:rPr>
          <w:rFonts w:ascii="Arial" w:cs="Arial" w:eastAsia="Arial" w:hAnsi="Arial"/>
          <w:b/>
          <w:bCs/>
          <w:color w:val="1A5276"/>
          <w:sz w:val="32"/>
          <w:szCs w:val="32"/>
        </w:rPr>
        <w:t xml:space="preserve">4. TRAINER CERTIFICATION CHECKLIST</w:t>
      </w:r>
    </w:p>
    <w:p>
      <w:pPr>
        <w:spacing w:after="80" w:before="60"/>
      </w:pPr>
      <w:r>
        <w:rPr>
          <w:rFonts w:ascii="Arial" w:cs="Arial" w:eastAsia="Arial" w:hAnsi="Arial"/>
          <w:color w:val="1C2833"/>
          <w:sz w:val="22"/>
          <w:szCs w:val="22"/>
        </w:rPr>
        <w:t xml:space="preserve">This checklist must be completed by the training assessor for each trainer candidate. All items must be marked PASS before the trainer is certified. Any FAIL requires remediation training and re-evaluation.</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4.1  Module A — Automated Voice GD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Certification Criterion</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Evaluation Method</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deterministic protocol design and all four pillars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 (5 min)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name all Jitsi components and their roles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quiz</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SFU vs P2P architecture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walk through all 7 WebRTC steps correctly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Unassisted recitation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SRTP encryption and audio privacy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all 6 orchestrator domains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 written summary</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why Redis is used for state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recite token-passing algorithm correctly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Unassisted recitation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state all round time allocations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quiz</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list all 7 captured data points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list (unassisted)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reproduce scoring formula from memory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test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calculate score for hypothetical scenario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exercise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recite all failure scenarios and system responses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test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state bandwidth numbers and explain significance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quiz</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list all deployment stack 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list (unassisted)</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bl>
    <w:p>
      <w:pPr>
        <w:spacing w:after="100" w:before="100"/>
      </w:pPr>
      <w:r>
        <w:t xml:space="preserve"/>
      </w:r>
    </w:p>
    <w:p>
      <w:pPr>
        <w:pStyle w:val="Heading2"/>
        <w:spacing w:after="140" w:before="280"/>
      </w:pPr>
      <w:r>
        <w:rPr>
          <w:rFonts w:ascii="Arial" w:cs="Arial" w:eastAsia="Arial" w:hAnsi="Arial"/>
          <w:b/>
          <w:bCs/>
          <w:color w:val="154360"/>
          <w:sz w:val="26"/>
          <w:szCs w:val="26"/>
        </w:rPr>
        <w:t xml:space="preserve">4.2  Module B — SME Recruitment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Certification Criterion</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Evaluation Method</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Pass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name all 4 SME roles and their permissions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quiz</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walk through full KYC submission process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Step-by-step verbal walkthrough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all 3 offer states and transitions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name and define all 5 SME reliability metrics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Written test</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calculate a hypothetical reliability 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exercise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all 4 CTC component disclosures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describe all 3 post-joining checkpoints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why post-joining data is confidential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name and explain all 3 AI prediction outputs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explain why SME AI models are separate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explanation</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describe all 3 trust dashboard views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Verbal walkthrough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797D7F"/>
                <w:sz w:val="20"/>
                <w:szCs w:val="20"/>
              </w:rPr>
              <w:t xml:space="preserve">[ ] Pass  [ ] Fail</w:t>
            </w:r>
          </w:p>
        </w:tc>
      </w:tr>
    </w:tbl>
    <w:p>
      <w:pPr>
        <w:spacing w:after="100" w:before="100"/>
      </w:pPr>
      <w:r>
        <w:t xml:space="preserve"/>
      </w:r>
    </w:p>
    <w:p>
      <w:r>
        <w:br w:type="page"/>
      </w:r>
    </w:p>
    <w:p>
      <w:pPr>
        <w:pStyle w:val="Heading1"/>
        <w:pBdr>
          <w:bottom w:val="single" w:color="1A5276" w:sz="6" w:space="1"/>
        </w:pBdr>
        <w:spacing w:after="200" w:before="360"/>
      </w:pPr>
      <w:r>
        <w:rPr>
          <w:rFonts w:ascii="Arial" w:cs="Arial" w:eastAsia="Arial" w:hAnsi="Arial"/>
          <w:b/>
          <w:bCs/>
          <w:color w:val="1A5276"/>
          <w:sz w:val="32"/>
          <w:szCs w:val="32"/>
        </w:rPr>
        <w:t xml:space="preserve">5. TRAINER VALIDATION RECORD</w:t>
      </w:r>
    </w:p>
    <w:p>
      <w:pPr>
        <w:spacing w:after="80" w:before="60"/>
      </w:pPr>
      <w:r>
        <w:rPr>
          <w:rFonts w:ascii="Arial" w:cs="Arial" w:eastAsia="Arial" w:hAnsi="Arial"/>
          <w:color w:val="1C2833"/>
          <w:sz w:val="22"/>
          <w:szCs w:val="22"/>
        </w:rPr>
        <w:t xml:space="preserve">This section must be completed by the designated assessor and countersigned by the Training Manager. This record constitutes the official certification document.</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5.1  Trainer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___________________________________________________</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Employee / Trainer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___________________________________________________</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Department / Team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___________________________________________________</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Email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___________________________________________________</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Contact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___________________________________________________</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Training Track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 ] Module A Only   [ ] Module B Only   [ ] Both Modules</w:t>
            </w:r>
          </w:p>
        </w:tc>
      </w:tr>
    </w:tbl>
    <w:p>
      <w:pPr>
        <w:spacing w:after="100" w:before="100"/>
      </w:pPr>
      <w:r>
        <w:t xml:space="preserve"/>
      </w:r>
    </w:p>
    <w:p>
      <w:pPr>
        <w:pStyle w:val="Heading2"/>
        <w:spacing w:after="140" w:before="280"/>
      </w:pPr>
      <w:r>
        <w:rPr>
          <w:rFonts w:ascii="Arial" w:cs="Arial" w:eastAsia="Arial" w:hAnsi="Arial"/>
          <w:b/>
          <w:bCs/>
          <w:color w:val="154360"/>
          <w:sz w:val="26"/>
          <w:szCs w:val="26"/>
        </w:rPr>
        <w:t xml:space="preserve">5.2  Assessment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Assessment Date — Module 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___________________________________________________</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Assessment Date — Module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___________________________________________________</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Module A — Criteria Passed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  /  15 criteria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Module B — Criteria Passed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  /  11 criteria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Module A —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  %</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Module B —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________  %</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Overall Certification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 ] CERTIFIED   [ ] REMEDIATION REQUIRED   [ ] FAILED</w:t>
            </w:r>
          </w:p>
        </w:tc>
      </w:tr>
    </w:tbl>
    <w:p>
      <w:pPr>
        <w:spacing w:after="100" w:before="100"/>
      </w:pPr>
      <w:r>
        <w:t xml:space="preserve"/>
      </w:r>
    </w:p>
    <w:p>
      <w:pPr>
        <w:pStyle w:val="Heading2"/>
        <w:spacing w:after="140" w:before="280"/>
      </w:pPr>
      <w:r>
        <w:rPr>
          <w:rFonts w:ascii="Arial" w:cs="Arial" w:eastAsia="Arial" w:hAnsi="Arial"/>
          <w:b/>
          <w:bCs/>
          <w:color w:val="154360"/>
          <w:sz w:val="26"/>
          <w:szCs w:val="26"/>
        </w:rPr>
        <w:t xml:space="preserve">5.3  Assessor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Strengths Observed:</w:t>
            </w:r>
          </w:p>
          <w:p>
            <w:pPr>
              <w:spacing w:after="400"/>
            </w:pPr>
            <w:r>
              <w:rPr>
                <w:rFonts w:ascii="Arial" w:cs="Arial" w:eastAsia="Arial" w:hAnsi="Arial"/>
                <w:sz w:val="20"/>
                <w:szCs w:val="20"/>
              </w:rPr>
              <w:t xml:space="preserve"> </w:t>
            </w:r>
          </w:p>
          <w:p>
            <w:r>
              <w:rPr>
                <w:rFonts w:ascii="Arial" w:cs="Arial" w:eastAsia="Arial" w:hAnsi="Arial"/>
                <w:b/>
                <w:bCs/>
                <w:sz w:val="20"/>
                <w:szCs w:val="20"/>
              </w:rPr>
              <w:t xml:space="preserve">Areas Requiring Improvement:</w:t>
            </w:r>
          </w:p>
          <w:p>
            <w:pPr>
              <w:spacing w:after="400"/>
            </w:pPr>
            <w:r>
              <w:rPr>
                <w:rFonts w:ascii="Arial" w:cs="Arial" w:eastAsia="Arial" w:hAnsi="Arial"/>
                <w:sz w:val="20"/>
                <w:szCs w:val="20"/>
              </w:rPr>
              <w:t xml:space="preserve"> </w:t>
            </w:r>
          </w:p>
          <w:p>
            <w:r>
              <w:rPr>
                <w:rFonts w:ascii="Arial" w:cs="Arial" w:eastAsia="Arial" w:hAnsi="Arial"/>
                <w:b/>
                <w:bCs/>
                <w:sz w:val="20"/>
                <w:szCs w:val="20"/>
              </w:rPr>
              <w:t xml:space="preserve">Remediation Actions Required (if any):</w:t>
            </w:r>
          </w:p>
          <w:p>
            <w:pPr>
              <w:spacing w:after="400"/>
            </w:pPr>
            <w:r>
              <w:rPr>
                <w:rFonts w:ascii="Arial" w:cs="Arial" w:eastAsia="Arial" w:hAnsi="Arial"/>
                <w:sz w:val="20"/>
                <w:szCs w:val="20"/>
              </w:rPr>
              <w:t xml:space="preserve"> </w:t>
            </w:r>
          </w:p>
        </w:tc>
      </w:tr>
    </w:tbl>
    <w:p>
      <w:pPr>
        <w:spacing w:after="100" w:before="100"/>
      </w:pPr>
      <w:r>
        <w:t xml:space="preserve"/>
      </w:r>
    </w:p>
    <w:p>
      <w:pPr>
        <w:pStyle w:val="Heading2"/>
        <w:spacing w:after="140" w:before="280"/>
      </w:pPr>
      <w:r>
        <w:rPr>
          <w:rFonts w:ascii="Arial" w:cs="Arial" w:eastAsia="Arial" w:hAnsi="Arial"/>
          <w:b/>
          <w:bCs/>
          <w:color w:val="154360"/>
          <w:sz w:val="26"/>
          <w:szCs w:val="26"/>
        </w:rPr>
        <w:t xml:space="preserve">5.4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Assessor Signature</w:t>
            </w:r>
          </w:p>
          <w:p>
            <w:pPr>
              <w:spacing w:after="400"/>
            </w:pPr>
            <w:r>
              <w:rPr>
                <w:rFonts w:ascii="Arial" w:cs="Arial" w:eastAsia="Arial" w:hAnsi="Arial"/>
                <w:sz w:val="20"/>
                <w:szCs w:val="20"/>
              </w:rPr>
              <w:t xml:space="preserve"> </w:t>
            </w:r>
          </w:p>
          <w:p>
            <w:r>
              <w:rPr>
                <w:rFonts w:ascii="Arial" w:cs="Arial" w:eastAsia="Arial" w:hAnsi="Arial"/>
                <w:sz w:val="20"/>
                <w:szCs w:val="20"/>
              </w:rPr>
              <w:t xml:space="preserve">Name: ___________________________</w:t>
            </w:r>
          </w:p>
          <w:p>
            <w:r>
              <w:rPr>
                <w:rFonts w:ascii="Arial" w:cs="Arial" w:eastAsia="Arial" w:hAnsi="Arial"/>
                <w:sz w:val="20"/>
                <w:szCs w:val="20"/>
              </w:rPr>
              <w:t xml:space="preserve">Date: ___________________________</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Training Manager Approval</w:t>
            </w:r>
          </w:p>
          <w:p>
            <w:pPr>
              <w:spacing w:after="400"/>
            </w:pPr>
            <w:r>
              <w:rPr>
                <w:rFonts w:ascii="Arial" w:cs="Arial" w:eastAsia="Arial" w:hAnsi="Arial"/>
                <w:sz w:val="20"/>
                <w:szCs w:val="20"/>
              </w:rPr>
              <w:t xml:space="preserve"> </w:t>
            </w:r>
          </w:p>
          <w:p>
            <w:r>
              <w:rPr>
                <w:rFonts w:ascii="Arial" w:cs="Arial" w:eastAsia="Arial" w:hAnsi="Arial"/>
                <w:sz w:val="20"/>
                <w:szCs w:val="20"/>
              </w:rPr>
              <w:t xml:space="preserve">Name: ___________________________</w:t>
            </w:r>
          </w:p>
          <w:p>
            <w:r>
              <w:rPr>
                <w:rFonts w:ascii="Arial" w:cs="Arial" w:eastAsia="Arial" w:hAnsi="Arial"/>
                <w:sz w:val="20"/>
                <w:szCs w:val="20"/>
              </w:rPr>
              <w:t xml:space="preserve">Date: ___________________________</w:t>
            </w:r>
          </w:p>
        </w:tc>
      </w:tr>
    </w:tbl>
    <w:p>
      <w:pPr>
        <w:spacing w:after="100" w:before="100"/>
      </w:pPr>
      <w:r>
        <w:t xml:space="preserve"/>
      </w:r>
    </w:p>
    <w:p>
      <w:r>
        <w:br w:type="page"/>
      </w:r>
    </w:p>
    <w:p>
      <w:pPr>
        <w:pStyle w:val="Heading1"/>
        <w:pBdr>
          <w:bottom w:val="single" w:color="1A5276" w:sz="6" w:space="1"/>
        </w:pBdr>
        <w:spacing w:after="200" w:before="360"/>
      </w:pPr>
      <w:r>
        <w:rPr>
          <w:rFonts w:ascii="Arial" w:cs="Arial" w:eastAsia="Arial" w:hAnsi="Arial"/>
          <w:b/>
          <w:bCs/>
          <w:color w:val="1A5276"/>
          <w:sz w:val="32"/>
          <w:szCs w:val="32"/>
        </w:rPr>
        <w:t xml:space="preserve">6. REMEDIATION AND RE-CERTIFICATION PROTOCOL</w:t>
      </w:r>
    </w:p>
    <w:p>
      <w:pPr>
        <w:pStyle w:val="Heading2"/>
        <w:spacing w:after="140" w:before="280"/>
      </w:pPr>
      <w:r>
        <w:rPr>
          <w:rFonts w:ascii="Arial" w:cs="Arial" w:eastAsia="Arial" w:hAnsi="Arial"/>
          <w:b/>
          <w:bCs/>
          <w:color w:val="154360"/>
          <w:sz w:val="26"/>
          <w:szCs w:val="26"/>
        </w:rPr>
        <w:t xml:space="preserve">6.1  Remediation Triggers</w:t>
      </w:r>
    </w:p>
    <w:p>
      <w:pPr>
        <w:spacing w:after="80" w:before="60"/>
      </w:pPr>
      <w:r>
        <w:rPr>
          <w:rFonts w:ascii="Arial" w:cs="Arial" w:eastAsia="Arial" w:hAnsi="Arial"/>
          <w:color w:val="1C2833"/>
          <w:sz w:val="22"/>
          <w:szCs w:val="22"/>
        </w:rPr>
        <w:t xml:space="preserve">Remediation is mandatory if any of the following conditions are met:</w:t>
      </w:r>
    </w:p>
    <w:p>
      <w:pPr>
        <w:pStyle w:val="ListParagraph"/>
        <w:numPr>
          <w:ilvl w:val="0"/>
          <w:numId w:val="2"/>
        </w:numPr>
        <w:spacing w:after="40" w:before="40"/>
      </w:pPr>
      <w:r>
        <w:rPr>
          <w:rFonts w:ascii="Arial" w:cs="Arial" w:eastAsia="Arial" w:hAnsi="Arial"/>
          <w:b w:val="false"/>
          <w:bCs w:val="false"/>
          <w:color w:val="1C2833"/>
          <w:sz w:val="22"/>
          <w:szCs w:val="22"/>
        </w:rPr>
        <w:t xml:space="preserve">Trainer scores below 80% on Module A criteria</w:t>
      </w:r>
    </w:p>
    <w:p>
      <w:pPr>
        <w:pStyle w:val="ListParagraph"/>
        <w:numPr>
          <w:ilvl w:val="0"/>
          <w:numId w:val="2"/>
        </w:numPr>
        <w:spacing w:after="40" w:before="40"/>
      </w:pPr>
      <w:r>
        <w:rPr>
          <w:rFonts w:ascii="Arial" w:cs="Arial" w:eastAsia="Arial" w:hAnsi="Arial"/>
          <w:b w:val="false"/>
          <w:bCs w:val="false"/>
          <w:color w:val="1C2833"/>
          <w:sz w:val="22"/>
          <w:szCs w:val="22"/>
        </w:rPr>
        <w:t xml:space="preserve">Trainer scores below 80% on Module B criteria</w:t>
      </w:r>
    </w:p>
    <w:p>
      <w:pPr>
        <w:pStyle w:val="ListParagraph"/>
        <w:numPr>
          <w:ilvl w:val="0"/>
          <w:numId w:val="2"/>
        </w:numPr>
        <w:spacing w:after="40" w:before="40"/>
      </w:pPr>
      <w:r>
        <w:rPr>
          <w:rFonts w:ascii="Arial" w:cs="Arial" w:eastAsia="Arial" w:hAnsi="Arial"/>
          <w:b w:val="false"/>
          <w:bCs w:val="false"/>
          <w:color w:val="1C2833"/>
          <w:sz w:val="22"/>
          <w:szCs w:val="22"/>
        </w:rPr>
        <w:t xml:space="preserve">Trainer fails any of the 5 'critical knowledge' items (marked in the checklist with asterisk)</w:t>
      </w:r>
    </w:p>
    <w:p>
      <w:pPr>
        <w:pStyle w:val="ListParagraph"/>
        <w:numPr>
          <w:ilvl w:val="0"/>
          <w:numId w:val="2"/>
        </w:numPr>
        <w:spacing w:after="40" w:before="40"/>
      </w:pPr>
      <w:r>
        <w:rPr>
          <w:rFonts w:ascii="Arial" w:cs="Arial" w:eastAsia="Arial" w:hAnsi="Arial"/>
          <w:b w:val="false"/>
          <w:bCs w:val="false"/>
          <w:color w:val="1C2833"/>
          <w:sz w:val="22"/>
          <w:szCs w:val="22"/>
        </w:rPr>
        <w:t xml:space="preserve">Assessor observes inability to respond to standard participant questions in mock training session</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6.2  Remediation Process</w:t>
      </w:r>
    </w:p>
    <w:p>
      <w:pPr>
        <w:pStyle w:val="ListParagraph"/>
        <w:numPr>
          <w:ilvl w:val="0"/>
          <w:numId w:val="2"/>
        </w:numPr>
        <w:spacing w:after="40" w:before="40"/>
      </w:pPr>
      <w:r>
        <w:rPr>
          <w:rFonts w:ascii="Arial" w:cs="Arial" w:eastAsia="Arial" w:hAnsi="Arial"/>
          <w:b w:val="false"/>
          <w:bCs w:val="false"/>
          <w:color w:val="1C2833"/>
          <w:sz w:val="22"/>
          <w:szCs w:val="22"/>
        </w:rPr>
        <w:t xml:space="preserve">Step 1: Assessor provides written feedback identifying all failed criteria within 24 hours of assessment</w:t>
      </w:r>
    </w:p>
    <w:p>
      <w:pPr>
        <w:pStyle w:val="ListParagraph"/>
        <w:numPr>
          <w:ilvl w:val="0"/>
          <w:numId w:val="2"/>
        </w:numPr>
        <w:spacing w:after="40" w:before="40"/>
      </w:pPr>
      <w:r>
        <w:rPr>
          <w:rFonts w:ascii="Arial" w:cs="Arial" w:eastAsia="Arial" w:hAnsi="Arial"/>
          <w:b w:val="false"/>
          <w:bCs w:val="false"/>
          <w:color w:val="1C2833"/>
          <w:sz w:val="22"/>
          <w:szCs w:val="22"/>
        </w:rPr>
        <w:t xml:space="preserve">Step 2: Trainer completes a focused self-study period of minimum 5 working days</w:t>
      </w:r>
    </w:p>
    <w:p>
      <w:pPr>
        <w:pStyle w:val="ListParagraph"/>
        <w:numPr>
          <w:ilvl w:val="0"/>
          <w:numId w:val="2"/>
        </w:numPr>
        <w:spacing w:after="40" w:before="40"/>
      </w:pPr>
      <w:r>
        <w:rPr>
          <w:rFonts w:ascii="Arial" w:cs="Arial" w:eastAsia="Arial" w:hAnsi="Arial"/>
          <w:b w:val="false"/>
          <w:bCs w:val="false"/>
          <w:color w:val="1C2833"/>
          <w:sz w:val="22"/>
          <w:szCs w:val="22"/>
        </w:rPr>
        <w:t xml:space="preserve">Step 3: Trainer submits a written summary (2 pages minimum) covering all failed areas</w:t>
      </w:r>
    </w:p>
    <w:p>
      <w:pPr>
        <w:pStyle w:val="ListParagraph"/>
        <w:numPr>
          <w:ilvl w:val="0"/>
          <w:numId w:val="2"/>
        </w:numPr>
        <w:spacing w:after="40" w:before="40"/>
      </w:pPr>
      <w:r>
        <w:rPr>
          <w:rFonts w:ascii="Arial" w:cs="Arial" w:eastAsia="Arial" w:hAnsi="Arial"/>
          <w:b w:val="false"/>
          <w:bCs w:val="false"/>
          <w:color w:val="1C2833"/>
          <w:sz w:val="22"/>
          <w:szCs w:val="22"/>
        </w:rPr>
        <w:t xml:space="preserve">Step 4: Re-assessment is conducted covering only the failed criteria</w:t>
      </w:r>
    </w:p>
    <w:p>
      <w:pPr>
        <w:pStyle w:val="ListParagraph"/>
        <w:numPr>
          <w:ilvl w:val="0"/>
          <w:numId w:val="2"/>
        </w:numPr>
        <w:spacing w:after="40" w:before="40"/>
      </w:pPr>
      <w:r>
        <w:rPr>
          <w:rFonts w:ascii="Arial" w:cs="Arial" w:eastAsia="Arial" w:hAnsi="Arial"/>
          <w:b w:val="false"/>
          <w:bCs w:val="false"/>
          <w:color w:val="1C2833"/>
          <w:sz w:val="22"/>
          <w:szCs w:val="22"/>
        </w:rPr>
        <w:t xml:space="preserve">Step 5: If re-assessment passes all criteria, certification is granted. If any criterion fails a second time, the trainer is referred to the Training Lead for an extended development plan.</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6.3  Re-Certification Schedule</w:t>
      </w:r>
    </w:p>
    <w:p>
      <w:pPr>
        <w:spacing w:after="80" w:before="60"/>
      </w:pPr>
      <w:r>
        <w:rPr>
          <w:rFonts w:ascii="Arial" w:cs="Arial" w:eastAsia="Arial" w:hAnsi="Arial"/>
          <w:color w:val="1C2833"/>
          <w:sz w:val="22"/>
          <w:szCs w:val="22"/>
        </w:rPr>
        <w:t xml:space="preserve">Certified trainers must complete re-certification annually, or within 30 days of any major platform feature update that affects the certified modules. Re-certification uses an abbreviated checklist covering only features changed since last certification.</w:t>
      </w:r>
    </w:p>
    <w:p>
      <w:pPr>
        <w:spacing w:after="100" w:before="100"/>
      </w:pPr>
      <w:r>
        <w:t xml:space="preserve"/>
      </w:r>
    </w:p>
    <w:p>
      <w:pPr>
        <w:pStyle w:val="Heading1"/>
        <w:pBdr>
          <w:bottom w:val="single" w:color="1A5276" w:sz="6" w:space="1"/>
        </w:pBdr>
        <w:spacing w:after="200" w:before="360"/>
      </w:pPr>
      <w:r>
        <w:rPr>
          <w:rFonts w:ascii="Arial" w:cs="Arial" w:eastAsia="Arial" w:hAnsi="Arial"/>
          <w:b/>
          <w:bCs/>
          <w:color w:val="1A5276"/>
          <w:sz w:val="32"/>
          <w:szCs w:val="32"/>
        </w:rPr>
        <w:t xml:space="preserve">7. QUICK REFERENCE — KEY NUMBERS AND FORMULAS</w:t>
      </w:r>
    </w:p>
    <w:p>
      <w:pPr>
        <w:pStyle w:val="Heading2"/>
        <w:spacing w:after="140" w:before="280"/>
      </w:pPr>
      <w:r>
        <w:rPr>
          <w:rFonts w:ascii="Arial" w:cs="Arial" w:eastAsia="Arial" w:hAnsi="Arial"/>
          <w:b/>
          <w:bCs/>
          <w:color w:val="154360"/>
          <w:sz w:val="26"/>
          <w:szCs w:val="26"/>
        </w:rPr>
        <w:t xml:space="preserve">7.1  Voice GD System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Introduction Round Duration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seconds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Rebuttal Round Duration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seconds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Conclusion Round Duration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seconds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upload bandwidth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40–60 kbps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download bandwidth (5–6 users)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150–250 kbps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Jitsi License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2.0 (zero cost)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Interrupt Attempt Penalty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points per attempt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Exit Penalty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points (applied once)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Preparation Timer (Pre-GD)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minutes</w:t>
            </w:r>
          </w:p>
        </w:tc>
      </w:tr>
    </w:tbl>
    <w:p>
      <w:pPr>
        <w:spacing w:after="100" w:before="100"/>
      </w:pPr>
      <w:r>
        <w:t xml:space="preserve"/>
      </w:r>
    </w:p>
    <w:p>
      <w:pPr>
        <w:pStyle w:val="Heading2"/>
        <w:spacing w:after="140" w:before="280"/>
      </w:pPr>
      <w:r>
        <w:rPr>
          <w:rFonts w:ascii="Arial" w:cs="Arial" w:eastAsia="Arial" w:hAnsi="Arial"/>
          <w:b/>
          <w:bCs/>
          <w:color w:val="154360"/>
          <w:sz w:val="26"/>
          <w:szCs w:val="26"/>
        </w:rPr>
        <w:t xml:space="preserve">7.2  SME Module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 / Standard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SME KYC Verification SLA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 hours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Time Score — Maximum (&lt; 48 hrs)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100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CTC Tolerance on Offer vs. Posting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(with Founder approval)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Post-Joining Check-in Dates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30, Day 60, Day 90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Trainer Certification Score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on each module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Re-Certification Frequency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or within 30 days of major feature update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SME Roles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HR Manager, Recruiter, Hiring Manager</w:t>
            </w:r>
          </w:p>
        </w:tc>
      </w:tr>
    </w:tbl>
    <w:p>
      <w:pPr>
        <w:spacing w:after="100" w:before="100"/>
      </w:pPr>
      <w:r>
        <w:t xml:space="preserve"/>
      </w:r>
    </w:p>
    <w:p>
      <w:r>
        <w:br w:type="page"/>
      </w:r>
    </w:p>
    <w:p>
      <w:pPr>
        <w:pStyle w:val="Heading1"/>
        <w:pBdr>
          <w:bottom w:val="single" w:color="1A5276" w:sz="6" w:space="1"/>
        </w:pBdr>
        <w:spacing w:after="200" w:before="360"/>
      </w:pPr>
      <w:r>
        <w:rPr>
          <w:rFonts w:ascii="Arial" w:cs="Arial" w:eastAsia="Arial" w:hAnsi="Arial"/>
          <w:b/>
          <w:bCs/>
          <w:color w:val="1A5276"/>
          <w:sz w:val="32"/>
          <w:szCs w:val="32"/>
        </w:rPr>
        <w:t xml:space="preserve">8. APPENDIX — COMMON PARTICIPANT QUESTIONS AND TRAINER RESPONSES</w:t>
      </w:r>
    </w:p>
    <w:p>
      <w:pPr>
        <w:spacing w:after="80" w:before="60"/>
      </w:pPr>
      <w:r>
        <w:rPr>
          <w:rFonts w:ascii="Arial" w:cs="Arial" w:eastAsia="Arial" w:hAnsi="Arial"/>
          <w:color w:val="1C2833"/>
          <w:sz w:val="22"/>
          <w:szCs w:val="22"/>
        </w:rPr>
        <w:t xml:space="preserve">Trainers must be prepared to answer these questions in live training sessions. The responses below are reference answers; trainers should deliver them in their own words.</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Q1: Can a candidate cheat by using a second device?</w:t>
      </w:r>
    </w:p>
    <w:p>
      <w:pPr>
        <w:spacing w:after="80" w:before="60"/>
      </w:pPr>
      <w:r>
        <w:rPr>
          <w:rFonts w:ascii="Arial" w:cs="Arial" w:eastAsia="Arial" w:hAnsi="Arial"/>
          <w:color w:val="1C2833"/>
          <w:sz w:val="22"/>
          <w:szCs w:val="22"/>
        </w:rPr>
        <w:t xml:space="preserve">Response: No. Room access is tied to a unique session token issued to the candidate's registered account. The session token can only authenticate a single connection. If a second connection attempt is made with the same token, the first connection is terminated automatically. The candidate's speaking state is preserved in Redis and restored, but the duplicate-device attempt is logged as a protocol anomaly.</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Q2: What if the internet fails at the Jitsi server level?</w:t>
      </w:r>
    </w:p>
    <w:p>
      <w:pPr>
        <w:spacing w:after="80" w:before="60"/>
      </w:pPr>
      <w:r>
        <w:rPr>
          <w:rFonts w:ascii="Arial" w:cs="Arial" w:eastAsia="Arial" w:hAnsi="Arial"/>
          <w:color w:val="1C2833"/>
          <w:sz w:val="22"/>
          <w:szCs w:val="22"/>
        </w:rPr>
        <w:t xml:space="preserve">Response: The Jitsi server is self-hosted on a cloud VM with high-availability configuration. In the event of a complete server failure, the affected GD session is flagged as invalidated. Affected candidates are notified and automatically rescheduled for the next available batch. No score is generated for an invalidated session.</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Q3: Why doesn't the system use speech-to-text to evaluate content quality?</w:t>
      </w:r>
    </w:p>
    <w:p>
      <w:pPr>
        <w:spacing w:after="80" w:before="60"/>
      </w:pPr>
      <w:r>
        <w:rPr>
          <w:rFonts w:ascii="Arial" w:cs="Arial" w:eastAsia="Arial" w:hAnsi="Arial"/>
          <w:color w:val="1C2833"/>
          <w:sz w:val="22"/>
          <w:szCs w:val="22"/>
        </w:rPr>
        <w:t xml:space="preserve">Response: Deliberate design choice. Speech-to-text introduces language bias (models perform better on certain accents), content bias (evaluating what is said, not how effectively the candidate participates), and storage requirements (text transcripts of candidate speech). The system evaluates communication behavior — participation compliance, turn usage, discipline under constraints — not communication content.</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Q4: Can an SME's reliability score be gamed?</w:t>
      </w:r>
    </w:p>
    <w:p>
      <w:pPr>
        <w:spacing w:after="80" w:before="60"/>
      </w:pPr>
      <w:r>
        <w:rPr>
          <w:rFonts w:ascii="Arial" w:cs="Arial" w:eastAsia="Arial" w:hAnsi="Arial"/>
          <w:color w:val="1C2833"/>
          <w:sz w:val="22"/>
          <w:szCs w:val="22"/>
        </w:rPr>
        <w:t xml:space="preserve">Response: The score is based on actual behavioral events tracked by the system — response times, interview completions, offer follow-through, and post-joining student surveys. An SME cannot artificially improve their score without actually improving their hiring behavior. The post-joining survey data, which is the most impactful score component, is submitted directly by students and is never accessible to the SME employer.</w:t>
      </w:r>
    </w:p>
    <w:p>
      <w:pPr>
        <w:spacing w:after="100" w:before="100"/>
      </w:pPr>
      <w:r>
        <w:t xml:space="preserve"/>
      </w:r>
    </w:p>
    <w:p>
      <w:pPr>
        <w:pStyle w:val="Heading2"/>
        <w:spacing w:after="140" w:before="280"/>
      </w:pPr>
      <w:r>
        <w:rPr>
          <w:rFonts w:ascii="Arial" w:cs="Arial" w:eastAsia="Arial" w:hAnsi="Arial"/>
          <w:b/>
          <w:bCs/>
          <w:color w:val="154360"/>
          <w:sz w:val="26"/>
          <w:szCs w:val="26"/>
        </w:rPr>
        <w:t xml:space="preserve">Q5: What happens if a student lies on the post-joining survey?</w:t>
      </w:r>
    </w:p>
    <w:p>
      <w:pPr>
        <w:spacing w:after="80" w:before="60"/>
      </w:pPr>
      <w:r>
        <w:rPr>
          <w:rFonts w:ascii="Arial" w:cs="Arial" w:eastAsia="Arial" w:hAnsi="Arial"/>
          <w:color w:val="1C2833"/>
          <w:sz w:val="22"/>
          <w:szCs w:val="22"/>
        </w:rPr>
        <w:t xml:space="preserve">Response: Surveys are confidential and anonymous, reducing the incentive to misrepresent. The system uses aggregate data across multiple students for the same SME over multiple hiring cycles to detect outlier responses. A single survey response does not dramatically shift an SME's reliability score; the model weights recent patterns and requires a minimum of three data points before updating the score significantly.</w:t>
      </w:r>
    </w:p>
    <w:p>
      <w:pPr>
        <w:spacing w:after="100" w:before="100"/>
      </w:pPr>
      <w:r>
        <w:t xml:space="preserve"/>
      </w:r>
    </w:p>
    <w:p>
      <w:pPr>
        <w:spacing w:after="200" w:before="400"/>
        <w:jc w:val="center"/>
      </w:pPr>
      <w:r>
        <w:rPr>
          <w:rFonts w:ascii="Arial" w:cs="Arial" w:eastAsia="Arial" w:hAnsi="Arial"/>
          <w:i/>
          <w:iCs/>
          <w:color w:val="7F8C8D"/>
          <w:sz w:val="20"/>
          <w:szCs w:val="20"/>
        </w:rPr>
        <w:t xml:space="preserve">— End of Trainer Certification and Validation Document —</w:t>
      </w:r>
    </w:p>
    <w:p>
      <w:pPr>
        <w:jc w:val="center"/>
      </w:pPr>
      <w:r>
        <w:rPr>
          <w:rFonts w:ascii="Arial" w:cs="Arial" w:eastAsia="Arial" w:hAnsi="Arial"/>
          <w:color w:val="AAB7B8"/>
          <w:sz w:val="18"/>
          <w:szCs w:val="18"/>
        </w:rPr>
        <w:t xml:space="preserve">EcoSkiller Platform  |  Confidential Internal Document  |  v1.0  |  March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before="100"/>
    </w:pPr>
    <w:r>
      <w:rPr>
        <w:rFonts w:ascii="Arial" w:cs="Arial" w:eastAsia="Arial" w:hAnsi="Arial"/>
        <w:color w:val="7F8C8D"/>
        <w:sz w:val="18"/>
        <w:szCs w:val="18"/>
      </w:rPr>
      <w:t xml:space="preserve">CONFIDENTIAL — Internal Training Document  |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100"/>
    </w:pPr>
    <w:r>
      <w:rPr>
        <w:rFonts w:ascii="Arial" w:cs="Arial" w:eastAsia="Arial" w:hAnsi="Arial"/>
        <w:color w:val="7F8C8D"/>
        <w:sz w:val="18"/>
        <w:szCs w:val="18"/>
      </w:rPr>
      <w:t xml:space="preserve">EcoSkiller Platform  |  Trainer Certification &amp; Validation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543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2026-03-18T04:00:34.795Z</dcterms:created>
  <dcterms:modified xsi:type="dcterms:W3CDTF">2026-03-18T04:00:34.796Z</dcterms:modified>
</cp:coreProperties>
</file>

<file path=docProps/custom.xml><?xml version="1.0" encoding="utf-8"?>
<Properties xmlns="http://schemas.openxmlformats.org/officeDocument/2006/custom-properties" xmlns:vt="http://schemas.openxmlformats.org/officeDocument/2006/docPropsVTypes"/>
</file>