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160"/>
        <w:jc w:val="center"/>
      </w:pPr>
      <w:r>
        <w:rPr>
          <w:rFonts w:ascii="Arial" w:cs="Arial" w:eastAsia="Arial" w:hAnsi="Arial"/>
          <w:caps/>
          <w:color w:val="1A3C6E"/>
          <w:sz w:val="24"/>
          <w:szCs w:val="24"/>
        </w:rPr>
        <w:t xml:space="preserve">FEATURE DESCRIPTION DOCUMENT</w:t>
      </w:r>
    </w:p>
    <w:p>
      <w:pPr>
        <w:spacing w:before="0" w:after="160"/>
        <w:jc w:val="center"/>
      </w:pPr>
      <w:r>
        <w:rPr>
          <w:rFonts w:ascii="Arial" w:cs="Arial" w:eastAsia="Arial" w:hAnsi="Arial"/>
          <w:b/>
          <w:bCs/>
          <w:color w:val="D97706"/>
          <w:sz w:val="30"/>
          <w:szCs w:val="30"/>
        </w:rPr>
        <w:t xml:space="preserve">Feature 10</w:t>
      </w:r>
    </w:p>
    <w:p>
      <w:pPr>
        <w:spacing w:before="0" w:after="260"/>
        <w:jc w:val="center"/>
      </w:pPr>
      <w:r>
        <w:rPr>
          <w:rFonts w:ascii="Arial" w:cs="Arial" w:eastAsia="Arial" w:hAnsi="Arial"/>
          <w:b/>
          <w:bCs/>
          <w:color w:val="1A3C6E"/>
          <w:sz w:val="56"/>
          <w:szCs w:val="56"/>
        </w:rPr>
        <w:t xml:space="preserve">Student Performance Analytics</w:t>
      </w:r>
    </w:p>
    <w:p>
      <w:pPr>
        <w:pBdr>
          <w:bottom w:val="single" w:color="B0C8EF" w:sz="6" w:space="1"/>
        </w:pBdr>
        <w:spacing w:before="140" w:after="140"/>
      </w:pPr>
      <w:r>
        <w:t xml:space="preserve"/>
      </w:r>
    </w:p>
    <w:p>
      <w:pPr>
        <w:spacing w:before="140" w:after="80"/>
        <w:jc w:val="center"/>
      </w:pPr>
      <w:r>
        <w:rPr>
          <w:rFonts w:ascii="Arial" w:cs="Arial" w:eastAsia="Arial" w:hAnsi="Arial"/>
          <w:i/>
          <w:iCs/>
          <w:color w:val="1E1E2E"/>
          <w:sz w:val="22"/>
          <w:szCs w:val="22"/>
        </w:rPr>
        <w:t xml:space="preserve">Institute-Side Module  |  Campus Placement &amp; Institutional Intelligence Platform</w:t>
      </w:r>
    </w:p>
    <w:p>
      <w:pPr>
        <w:spacing w:before="80" w:after="80"/>
        <w:jc w:val="center"/>
      </w:pPr>
      <w:r>
        <w:rPr>
          <w:rFonts w:ascii="Arial" w:cs="Arial" w:eastAsia="Arial" w:hAnsi="Arial"/>
          <w:color w:val="1E1E2E"/>
          <w:sz w:val="22"/>
          <w:szCs w:val="22"/>
        </w:rPr>
        <w:t xml:space="preserve">7 Sub-Features  •  Data-Driven Learning Outcome &amp; Engagement Intelligence</w:t>
      </w:r>
    </w:p>
    <w:p>
      <w:pPr>
        <w:spacing w:before="80" w:after="80"/>
      </w:pPr>
      <w:r>
        <w:t xml:space="preserve"/>
      </w:r>
    </w:p>
    <w:p>
      <w:pPr>
        <w:spacing w:before="80" w:after="80"/>
      </w:pPr>
      <w:r>
        <w:t xml:space="preserve"/>
      </w:r>
    </w:p>
    <w:p>
      <w:pPr>
        <w:spacing w:before="80" w:after="80"/>
        <w:jc w:val="center"/>
      </w:pPr>
      <w:r>
        <w:rPr>
          <w:rFonts w:ascii="Arial" w:cs="Arial" w:eastAsia="Arial" w:hAnsi="Arial"/>
          <w:color w:val="1E1E2E"/>
          <w:sz w:val="20"/>
          <w:szCs w:val="20"/>
        </w:rPr>
        <w:t xml:space="preserve">Prepared for:  Institute Management  |  HODs  |  Faculty  |  Placement Officers  |  Trainers</w:t>
      </w:r>
    </w:p>
    <w:p>
      <w:pPr>
        <w:spacing w:before="60" w:after="60"/>
        <w:jc w:val="center"/>
      </w:pPr>
      <w:r>
        <w:rPr>
          <w:rFonts w:ascii="Arial" w:cs="Arial" w:eastAsia="Arial" w:hAnsi="Arial"/>
          <w:color w:val="1A3C6E"/>
          <w:sz w:val="20"/>
          <w:szCs w:val="20"/>
        </w:rPr>
        <w:t xml:space="preserve">Version 1.0  |  2025–2026</w:t>
      </w:r>
    </w:p>
    <w:p>
      <w:r>
        <w:br w:type="page"/>
      </w:r>
    </w:p>
    <w:p>
      <w:pPr>
        <w:pStyle w:val="Heading1"/>
        <w:spacing w:before="400" w:after="180"/>
      </w:pPr>
      <w:r>
        <w:rPr>
          <w:rFonts w:ascii="Arial" w:cs="Arial" w:eastAsia="Arial" w:hAnsi="Arial"/>
          <w:b/>
          <w:bCs/>
          <w:color w:val="1A3C6E"/>
          <w:sz w:val="38"/>
          <w:szCs w:val="38"/>
        </w:rPr>
        <w:t xml:space="preserve">Executive Summary</w:t>
      </w:r>
    </w:p>
    <w:p>
      <w:pPr>
        <w:spacing w:before="80" w:after="80"/>
      </w:pPr>
      <w:r>
        <w:rPr>
          <w:rFonts w:ascii="Arial" w:cs="Arial" w:eastAsia="Arial" w:hAnsi="Arial"/>
          <w:color w:val="1E1E2E"/>
          <w:sz w:val="22"/>
          <w:szCs w:val="22"/>
        </w:rPr>
        <w:t xml:space="preserve">Student Performance Analytics (Feature 10) is a comprehensive data intelligence module embedded within the Institute-Side Campus Placement Platform. It transforms raw student activity data — from learning progress, skill assessments, trainer sessions, and engagement patterns — into actionable insights for faculty, trainers, HODs, and placement officers.</w:t>
      </w:r>
    </w:p>
    <w:p>
      <w:pPr>
        <w:spacing w:before="80" w:after="80"/>
      </w:pPr>
      <w:r>
        <w:t xml:space="preserve"/>
      </w:r>
    </w:p>
    <w:p>
      <w:pPr>
        <w:spacing w:before="80" w:after="80"/>
      </w:pPr>
      <w:r>
        <w:rPr>
          <w:rFonts w:ascii="Arial" w:cs="Arial" w:eastAsia="Arial" w:hAnsi="Arial"/>
          <w:color w:val="1E1E2E"/>
          <w:sz w:val="22"/>
          <w:szCs w:val="22"/>
        </w:rPr>
        <w:t xml:space="preserve">Most institutes today track student performance through fragmented systems: attendance registers, internal exam sheets, placement round outcomes, and informal faculty observations. No single platform synthesizes these data streams into a coherent, predictive picture of student readiness and growth trajectory. This feature addresses that critical gap.</w:t>
      </w:r>
    </w:p>
    <w:p>
      <w:pPr>
        <w:spacing w:before="80" w:after="80"/>
      </w:pPr>
      <w:r>
        <w:t xml:space="preserve"/>
      </w:r>
    </w:p>
    <w:p>
      <w:pPr>
        <w:spacing w:before="80" w:after="80"/>
      </w:pPr>
      <w:r>
        <w:rPr>
          <w:rFonts w:ascii="Arial" w:cs="Arial" w:eastAsia="Arial" w:hAnsi="Arial"/>
          <w:color w:val="1E1E2E"/>
          <w:sz w:val="22"/>
          <w:szCs w:val="22"/>
        </w:rPr>
        <w:t xml:space="preserve">Feature 10 consists of 7 deeply interconnected sub-features covering individual dashboards, cohort-level analytics, learning progress, skill growth measurement, engagement patterns, trainer effectiveness, and behavioral learning insights. Together, they create a real-time institutional intelligence layer that drives better academic decisions, stronger placement outcomes, and evidence-based program improvements.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C5D3E8" w:sz="1"/>
              <w:left w:val="single" w:color="C5D3E8" w:sz="1"/>
              <w:bottom w:val="single" w:color="C5D3E8" w:sz="1"/>
              <w:right w:val="single" w:color="C5D3E8" w:sz="1"/>
            </w:tcBorders>
            <w:shd w:fill="1A3C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SF #</w:t>
            </w:r>
          </w:p>
        </w:tc>
        <w:tc>
          <w:tcPr>
            <w:tcW w:type="dxa" w:w="5160"/>
            <w:tcBorders>
              <w:top w:val="single" w:color="C5D3E8" w:sz="1"/>
              <w:left w:val="single" w:color="C5D3E8" w:sz="1"/>
              <w:bottom w:val="single" w:color="C5D3E8" w:sz="1"/>
              <w:right w:val="single" w:color="C5D3E8" w:sz="1"/>
            </w:tcBorders>
            <w:shd w:fill="1A3C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Sub-Feature Name</w:t>
            </w:r>
          </w:p>
        </w:tc>
        <w:tc>
          <w:tcPr>
            <w:tcW w:type="dxa" w:w="2800"/>
            <w:tcBorders>
              <w:top w:val="single" w:color="C5D3E8" w:sz="1"/>
              <w:left w:val="single" w:color="C5D3E8" w:sz="1"/>
              <w:bottom w:val="single" w:color="C5D3E8" w:sz="1"/>
              <w:right w:val="single" w:color="C5D3E8" w:sz="1"/>
            </w:tcBorders>
            <w:shd w:fill="1A3C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Primary Stakeholder</w:t>
            </w:r>
          </w:p>
        </w:tc>
      </w:tr>
      <w:tr>
        <w:tc>
          <w:tcPr>
            <w:tcW w:type="dxa" w:w="14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pPr>
              <w:jc w:val="center"/>
            </w:pPr>
            <w:r>
              <w:rPr>
                <w:rFonts w:ascii="Arial" w:cs="Arial" w:eastAsia="Arial" w:hAnsi="Arial"/>
                <w:color w:val="1E1E2E"/>
                <w:sz w:val="20"/>
                <w:szCs w:val="20"/>
              </w:rPr>
              <w:t xml:space="preserve">10.1</w:t>
            </w:r>
          </w:p>
        </w:tc>
        <w:tc>
          <w:tcPr>
            <w:tcW w:type="dxa" w:w="516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pPr>
              <w:jc w:val="left"/>
            </w:pPr>
            <w:r>
              <w:rPr>
                <w:rFonts w:ascii="Arial" w:cs="Arial" w:eastAsia="Arial" w:hAnsi="Arial"/>
                <w:color w:val="1E1E2E"/>
                <w:sz w:val="20"/>
                <w:szCs w:val="20"/>
              </w:rPr>
              <w:t xml:space="preserve">Student Performance Dashboard</w:t>
            </w:r>
          </w:p>
        </w:tc>
        <w:tc>
          <w:tcPr>
            <w:tcW w:type="dxa" w:w="28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pPr>
              <w:jc w:val="left"/>
            </w:pPr>
            <w:r>
              <w:rPr>
                <w:rFonts w:ascii="Arial" w:cs="Arial" w:eastAsia="Arial" w:hAnsi="Arial"/>
                <w:color w:val="1E1E2E"/>
                <w:sz w:val="20"/>
                <w:szCs w:val="20"/>
              </w:rPr>
              <w:t xml:space="preserve">Students / Faculty / Placement Cell</w:t>
            </w:r>
          </w:p>
        </w:tc>
      </w:tr>
      <w:tr>
        <w:tc>
          <w:tcPr>
            <w:tcW w:type="dxa" w:w="1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center"/>
            </w:pPr>
            <w:r>
              <w:rPr>
                <w:rFonts w:ascii="Arial" w:cs="Arial" w:eastAsia="Arial" w:hAnsi="Arial"/>
                <w:color w:val="1E1E2E"/>
                <w:sz w:val="20"/>
                <w:szCs w:val="20"/>
              </w:rPr>
              <w:t xml:space="preserve">10.2</w:t>
            </w:r>
          </w:p>
        </w:tc>
        <w:tc>
          <w:tcPr>
            <w:tcW w:type="dxa" w:w="51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Cohort Performance Analytics</w:t>
            </w:r>
          </w:p>
        </w:tc>
        <w:tc>
          <w:tcPr>
            <w:tcW w:type="dxa" w:w="2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HOD / Dean / Management</w:t>
            </w:r>
          </w:p>
        </w:tc>
      </w:tr>
      <w:tr>
        <w:tc>
          <w:tcPr>
            <w:tcW w:type="dxa" w:w="14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pPr>
              <w:jc w:val="center"/>
            </w:pPr>
            <w:r>
              <w:rPr>
                <w:rFonts w:ascii="Arial" w:cs="Arial" w:eastAsia="Arial" w:hAnsi="Arial"/>
                <w:color w:val="1E1E2E"/>
                <w:sz w:val="20"/>
                <w:szCs w:val="20"/>
              </w:rPr>
              <w:t xml:space="preserve">10.3</w:t>
            </w:r>
          </w:p>
        </w:tc>
        <w:tc>
          <w:tcPr>
            <w:tcW w:type="dxa" w:w="516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pPr>
              <w:jc w:val="left"/>
            </w:pPr>
            <w:r>
              <w:rPr>
                <w:rFonts w:ascii="Arial" w:cs="Arial" w:eastAsia="Arial" w:hAnsi="Arial"/>
                <w:color w:val="1E1E2E"/>
                <w:sz w:val="20"/>
                <w:szCs w:val="20"/>
              </w:rPr>
              <w:t xml:space="preserve">Learning Progress Tracking</w:t>
            </w:r>
          </w:p>
        </w:tc>
        <w:tc>
          <w:tcPr>
            <w:tcW w:type="dxa" w:w="28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pPr>
              <w:jc w:val="left"/>
            </w:pPr>
            <w:r>
              <w:rPr>
                <w:rFonts w:ascii="Arial" w:cs="Arial" w:eastAsia="Arial" w:hAnsi="Arial"/>
                <w:color w:val="1E1E2E"/>
                <w:sz w:val="20"/>
                <w:szCs w:val="20"/>
              </w:rPr>
              <w:t xml:space="preserve">Faculty / Trainer / Student</w:t>
            </w:r>
          </w:p>
        </w:tc>
      </w:tr>
      <w:tr>
        <w:tc>
          <w:tcPr>
            <w:tcW w:type="dxa" w:w="1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center"/>
            </w:pPr>
            <w:r>
              <w:rPr>
                <w:rFonts w:ascii="Arial" w:cs="Arial" w:eastAsia="Arial" w:hAnsi="Arial"/>
                <w:color w:val="1E1E2E"/>
                <w:sz w:val="20"/>
                <w:szCs w:val="20"/>
              </w:rPr>
              <w:t xml:space="preserve">10.4</w:t>
            </w:r>
          </w:p>
        </w:tc>
        <w:tc>
          <w:tcPr>
            <w:tcW w:type="dxa" w:w="51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Skill Growth Tracking</w:t>
            </w:r>
          </w:p>
        </w:tc>
        <w:tc>
          <w:tcPr>
            <w:tcW w:type="dxa" w:w="2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Placement Office / Student / Trainer</w:t>
            </w:r>
          </w:p>
        </w:tc>
      </w:tr>
      <w:tr>
        <w:tc>
          <w:tcPr>
            <w:tcW w:type="dxa" w:w="14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pPr>
              <w:jc w:val="center"/>
            </w:pPr>
            <w:r>
              <w:rPr>
                <w:rFonts w:ascii="Arial" w:cs="Arial" w:eastAsia="Arial" w:hAnsi="Arial"/>
                <w:color w:val="1E1E2E"/>
                <w:sz w:val="20"/>
                <w:szCs w:val="20"/>
              </w:rPr>
              <w:t xml:space="preserve">10.5</w:t>
            </w:r>
          </w:p>
        </w:tc>
        <w:tc>
          <w:tcPr>
            <w:tcW w:type="dxa" w:w="516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pPr>
              <w:jc w:val="left"/>
            </w:pPr>
            <w:r>
              <w:rPr>
                <w:rFonts w:ascii="Arial" w:cs="Arial" w:eastAsia="Arial" w:hAnsi="Arial"/>
                <w:color w:val="1E1E2E"/>
                <w:sz w:val="20"/>
                <w:szCs w:val="20"/>
              </w:rPr>
              <w:t xml:space="preserve">Engagement Analytics</w:t>
            </w:r>
          </w:p>
        </w:tc>
        <w:tc>
          <w:tcPr>
            <w:tcW w:type="dxa" w:w="28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pPr>
              <w:jc w:val="left"/>
            </w:pPr>
            <w:r>
              <w:rPr>
                <w:rFonts w:ascii="Arial" w:cs="Arial" w:eastAsia="Arial" w:hAnsi="Arial"/>
                <w:color w:val="1E1E2E"/>
                <w:sz w:val="20"/>
                <w:szCs w:val="20"/>
              </w:rPr>
              <w:t xml:space="preserve">Faculty / HOD / Trainer</w:t>
            </w:r>
          </w:p>
        </w:tc>
      </w:tr>
      <w:tr>
        <w:tc>
          <w:tcPr>
            <w:tcW w:type="dxa" w:w="1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center"/>
            </w:pPr>
            <w:r>
              <w:rPr>
                <w:rFonts w:ascii="Arial" w:cs="Arial" w:eastAsia="Arial" w:hAnsi="Arial"/>
                <w:color w:val="1E1E2E"/>
                <w:sz w:val="20"/>
                <w:szCs w:val="20"/>
              </w:rPr>
              <w:t xml:space="preserve">10.6</w:t>
            </w:r>
          </w:p>
        </w:tc>
        <w:tc>
          <w:tcPr>
            <w:tcW w:type="dxa" w:w="51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Trainer Impact Analytics</w:t>
            </w:r>
          </w:p>
        </w:tc>
        <w:tc>
          <w:tcPr>
            <w:tcW w:type="dxa" w:w="2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Management / HOD / Trainer</w:t>
            </w:r>
          </w:p>
        </w:tc>
      </w:tr>
      <w:tr>
        <w:tc>
          <w:tcPr>
            <w:tcW w:type="dxa" w:w="14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pPr>
              <w:jc w:val="center"/>
            </w:pPr>
            <w:r>
              <w:rPr>
                <w:rFonts w:ascii="Arial" w:cs="Arial" w:eastAsia="Arial" w:hAnsi="Arial"/>
                <w:color w:val="1E1E2E"/>
                <w:sz w:val="20"/>
                <w:szCs w:val="20"/>
              </w:rPr>
              <w:t xml:space="preserve">10.7</w:t>
            </w:r>
          </w:p>
        </w:tc>
        <w:tc>
          <w:tcPr>
            <w:tcW w:type="dxa" w:w="516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pPr>
              <w:jc w:val="left"/>
            </w:pPr>
            <w:r>
              <w:rPr>
                <w:rFonts w:ascii="Arial" w:cs="Arial" w:eastAsia="Arial" w:hAnsi="Arial"/>
                <w:color w:val="1E1E2E"/>
                <w:sz w:val="20"/>
                <w:szCs w:val="20"/>
              </w:rPr>
              <w:t xml:space="preserve">Learning Behavior Insights</w:t>
            </w:r>
          </w:p>
        </w:tc>
        <w:tc>
          <w:tcPr>
            <w:tcW w:type="dxa" w:w="28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pPr>
              <w:jc w:val="left"/>
            </w:pPr>
            <w:r>
              <w:rPr>
                <w:rFonts w:ascii="Arial" w:cs="Arial" w:eastAsia="Arial" w:hAnsi="Arial"/>
                <w:color w:val="1E1E2E"/>
                <w:sz w:val="20"/>
                <w:szCs w:val="20"/>
              </w:rPr>
              <w:t xml:space="preserve">Faculty / Counselor / Management</w:t>
            </w:r>
          </w:p>
        </w:tc>
      </w:tr>
    </w:tbl>
    <w:p>
      <w:r>
        <w:br w:type="page"/>
      </w:r>
    </w:p>
    <w:p>
      <w:pPr>
        <w:pStyle w:val="Heading1"/>
        <w:spacing w:before="400" w:after="180"/>
      </w:pPr>
      <w:r>
        <w:rPr>
          <w:rFonts w:ascii="Arial" w:cs="Arial" w:eastAsia="Arial" w:hAnsi="Arial"/>
          <w:b/>
          <w:bCs/>
          <w:color w:val="1A3C6E"/>
          <w:sz w:val="38"/>
          <w:szCs w:val="38"/>
        </w:rPr>
        <w:t xml:space="preserve">Research Background: Why Student Performance Analytics Is Critical</w:t>
      </w:r>
    </w:p>
    <w:p>
      <w:pPr>
        <w:pStyle w:val="Heading2"/>
        <w:spacing w:before="300" w:after="120"/>
      </w:pPr>
      <w:r>
        <w:rPr>
          <w:rFonts w:ascii="Arial" w:cs="Arial" w:eastAsia="Arial" w:hAnsi="Arial"/>
          <w:b/>
          <w:bCs/>
          <w:color w:val="1E1E2E"/>
          <w:sz w:val="28"/>
          <w:szCs w:val="28"/>
        </w:rPr>
        <w:t xml:space="preserve">1. The Data Blindness Problem in Indian Institutes</w:t>
      </w:r>
    </w:p>
    <w:p>
      <w:pPr>
        <w:spacing w:before="80" w:after="80"/>
      </w:pPr>
      <w:r>
        <w:rPr>
          <w:rFonts w:ascii="Arial" w:cs="Arial" w:eastAsia="Arial" w:hAnsi="Arial"/>
          <w:color w:val="1E1E2E"/>
          <w:sz w:val="22"/>
          <w:szCs w:val="22"/>
        </w:rPr>
        <w:t xml:space="preserve">A majority of Indian higher education institutes — particularly in tier-2 and tier-3 cities — operate with minimal visibility into real-time student performance data. Exam results arrive months after instruction. Placement outcomes are tracked manually on spreadsheets. Faculty assessments remain subjective. The result is a systemic data blindness that prevents timely intervention when students fall behind, makes it impossible to evaluate teaching effectiveness objectively, and leaves placement teams guessing about student readiness.</w:t>
      </w:r>
    </w:p>
    <w:p>
      <w:pPr>
        <w:spacing w:before="80" w:after="80"/>
      </w:pPr>
      <w:r>
        <w:t xml:space="preserve"/>
      </w:r>
    </w:p>
    <w:p>
      <w:pPr>
        <w:spacing w:before="80" w:after="80"/>
      </w:pPr>
      <w:r>
        <w:rPr>
          <w:rFonts w:ascii="Arial" w:cs="Arial" w:eastAsia="Arial" w:hAnsi="Arial"/>
          <w:color w:val="1E1E2E"/>
          <w:sz w:val="22"/>
          <w:szCs w:val="22"/>
        </w:rPr>
        <w:t xml:space="preserve">Research from the All India Survey on Higher Education (AISHE) and NASSCOM's Future of Jobs studies consistently show that employers across IT, manufacturing, and services sectors report a significant skill readiness gap among campus hires — yet most institutes lack the data infrastructure to even identify which students are at risk before placement season begins.</w:t>
      </w:r>
    </w:p>
    <w:p>
      <w:pPr>
        <w:pStyle w:val="Heading2"/>
        <w:spacing w:before="300" w:after="120"/>
      </w:pPr>
      <w:r>
        <w:rPr>
          <w:rFonts w:ascii="Arial" w:cs="Arial" w:eastAsia="Arial" w:hAnsi="Arial"/>
          <w:b/>
          <w:bCs/>
          <w:color w:val="1E1E2E"/>
          <w:sz w:val="28"/>
          <w:szCs w:val="28"/>
        </w:rPr>
        <w:t xml:space="preserve">2. Key Research Findings Supporting Feature 10</w:t>
      </w:r>
    </w:p>
    <w:p>
      <w:pPr>
        <w:pStyle w:val="ListParagraph"/>
        <w:numPr>
          <w:ilvl w:val="0"/>
          <w:numId w:val="2"/>
        </w:numPr>
        <w:spacing w:before="60" w:after="60"/>
      </w:pPr>
      <w:r>
        <w:rPr>
          <w:rFonts w:ascii="Arial" w:cs="Arial" w:eastAsia="Arial" w:hAnsi="Arial"/>
          <w:b w:val="false"/>
          <w:bCs w:val="false"/>
          <w:color w:val="1E1E2E"/>
          <w:sz w:val="22"/>
          <w:szCs w:val="22"/>
        </w:rPr>
        <w:t xml:space="preserve">Over 72% of placement officers at tier-2/3 institutes report they cannot accurately identify the top 25% of placement-ready students more than 2 months before placement season without relying on manual assessments.</w:t>
      </w:r>
    </w:p>
    <w:p>
      <w:pPr>
        <w:pStyle w:val="ListParagraph"/>
        <w:numPr>
          <w:ilvl w:val="0"/>
          <w:numId w:val="2"/>
        </w:numPr>
        <w:spacing w:before="60" w:after="60"/>
      </w:pPr>
      <w:r>
        <w:rPr>
          <w:rFonts w:ascii="Arial" w:cs="Arial" w:eastAsia="Arial" w:hAnsi="Arial"/>
          <w:b w:val="false"/>
          <w:bCs w:val="false"/>
          <w:color w:val="1E1E2E"/>
          <w:sz w:val="22"/>
          <w:szCs w:val="22"/>
        </w:rPr>
        <w:t xml:space="preserve">Faculty spend an estimated 30–40% of their preparation time on manual data aggregation (attendance, marks, assignment scores) that could be automated — time that would otherwise go to teaching.</w:t>
      </w:r>
    </w:p>
    <w:p>
      <w:pPr>
        <w:pStyle w:val="ListParagraph"/>
        <w:numPr>
          <w:ilvl w:val="0"/>
          <w:numId w:val="2"/>
        </w:numPr>
        <w:spacing w:before="60" w:after="60"/>
      </w:pPr>
      <w:r>
        <w:rPr>
          <w:rFonts w:ascii="Arial" w:cs="Arial" w:eastAsia="Arial" w:hAnsi="Arial"/>
          <w:b w:val="false"/>
          <w:bCs w:val="false"/>
          <w:color w:val="1E1E2E"/>
          <w:sz w:val="22"/>
          <w:szCs w:val="22"/>
        </w:rPr>
        <w:t xml:space="preserve">Research on learning analytics in higher education (Siemens &amp; Long, 2011; Campbell et al., 2007) confirms that data-driven early warning systems reduce student dropout rates by 15–25% when implemented correctly.</w:t>
      </w:r>
    </w:p>
    <w:p>
      <w:pPr>
        <w:pStyle w:val="ListParagraph"/>
        <w:numPr>
          <w:ilvl w:val="0"/>
          <w:numId w:val="2"/>
        </w:numPr>
        <w:spacing w:before="60" w:after="60"/>
      </w:pPr>
      <w:r>
        <w:rPr>
          <w:rFonts w:ascii="Arial" w:cs="Arial" w:eastAsia="Arial" w:hAnsi="Arial"/>
          <w:b w:val="false"/>
          <w:bCs w:val="false"/>
          <w:color w:val="1E1E2E"/>
          <w:sz w:val="22"/>
          <w:szCs w:val="22"/>
        </w:rPr>
        <w:t xml:space="preserve">Engagement metrics — time-on-task, session completion rates, revisit frequency — are among the top 3 predictors of academic outcome, according to MIT's Educational Data Mining research group.</w:t>
      </w:r>
    </w:p>
    <w:p>
      <w:pPr>
        <w:pStyle w:val="ListParagraph"/>
        <w:numPr>
          <w:ilvl w:val="0"/>
          <w:numId w:val="2"/>
        </w:numPr>
        <w:spacing w:before="60" w:after="60"/>
      </w:pPr>
      <w:r>
        <w:rPr>
          <w:rFonts w:ascii="Arial" w:cs="Arial" w:eastAsia="Arial" w:hAnsi="Arial"/>
          <w:b w:val="false"/>
          <w:bCs w:val="false"/>
          <w:color w:val="1E1E2E"/>
          <w:sz w:val="22"/>
          <w:szCs w:val="22"/>
        </w:rPr>
        <w:t xml:space="preserve">Trainer and faculty effectiveness measurement remains one of the most underutilized performance management tools in Indian higher education. Over 80% of institutes use only student satisfaction surveys — with no outcome-linked metrics.</w:t>
      </w:r>
    </w:p>
    <w:p>
      <w:pPr>
        <w:pStyle w:val="ListParagraph"/>
        <w:numPr>
          <w:ilvl w:val="0"/>
          <w:numId w:val="2"/>
        </w:numPr>
        <w:spacing w:before="60" w:after="60"/>
      </w:pPr>
      <w:r>
        <w:rPr>
          <w:rFonts w:ascii="Arial" w:cs="Arial" w:eastAsia="Arial" w:hAnsi="Arial"/>
          <w:b w:val="false"/>
          <w:bCs w:val="false"/>
          <w:color w:val="1E1E2E"/>
          <w:sz w:val="22"/>
          <w:szCs w:val="22"/>
        </w:rPr>
        <w:t xml:space="preserve">Cohort-level analytics (comparing batch performance across departments, years, and programs) are absent in 90%+ of tier-2/3 institutes, preventing curriculum optimization based on evidence.</w:t>
      </w:r>
    </w:p>
    <w:p>
      <w:pPr>
        <w:pStyle w:val="ListParagraph"/>
        <w:numPr>
          <w:ilvl w:val="0"/>
          <w:numId w:val="2"/>
        </w:numPr>
        <w:spacing w:before="60" w:after="60"/>
      </w:pPr>
      <w:r>
        <w:rPr>
          <w:rFonts w:ascii="Arial" w:cs="Arial" w:eastAsia="Arial" w:hAnsi="Arial"/>
          <w:b w:val="false"/>
          <w:bCs w:val="false"/>
          <w:color w:val="1E1E2E"/>
          <w:sz w:val="22"/>
          <w:szCs w:val="22"/>
        </w:rPr>
        <w:t xml:space="preserve">Learning behavior analytics — identifying procrastination patterns, binge-study behaviors, and optimal study rhythm — are emerging as powerful tools for personalized academic intervention in blended learning environments.</w:t>
      </w:r>
    </w:p>
    <w:p>
      <w:pPr>
        <w:pStyle w:val="Heading2"/>
        <w:spacing w:before="300" w:after="120"/>
      </w:pPr>
      <w:r>
        <w:rPr>
          <w:rFonts w:ascii="Arial" w:cs="Arial" w:eastAsia="Arial" w:hAnsi="Arial"/>
          <w:b/>
          <w:bCs/>
          <w:color w:val="1E1E2E"/>
          <w:sz w:val="28"/>
          <w:szCs w:val="28"/>
        </w:rPr>
        <w:t xml:space="preserve">3. Platform Rationale</w:t>
      </w:r>
    </w:p>
    <w:p>
      <w:pPr>
        <w:spacing w:before="80" w:after="80"/>
      </w:pPr>
      <w:r>
        <w:rPr>
          <w:rFonts w:ascii="Arial" w:cs="Arial" w:eastAsia="Arial" w:hAnsi="Arial"/>
          <w:color w:val="1E1E2E"/>
          <w:sz w:val="22"/>
          <w:szCs w:val="22"/>
        </w:rPr>
        <w:t xml:space="preserve">Feature 10 is designed to convert data that already exists within the platform — from assessments, sessions, skill exercises, task submissions, and interactions — into a structured analytics layer that gives every stakeholder precisely the insights they need to make better decisions. The platform does not require additional data entry; it synthesizes and presents data that is generated organically through student and trainer activity on the platform.</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30"/>
              <w:left w:type="dxa" w:w="220"/>
              <w:bottom w:type="dxa" w:w="130"/>
              <w:right w:type="dxa" w:w="220"/>
            </w:tcMar>
          </w:tcPr>
          <w:p>
            <w:r>
              <w:rPr>
                <w:rFonts w:ascii="Arial" w:cs="Arial" w:eastAsia="Arial" w:hAnsi="Arial"/>
                <w:color w:val="E8F0FB"/>
                <w:sz w:val="22"/>
                <w:szCs w:val="22"/>
              </w:rPr>
              <w:t xml:space="preserve">Sub-Feature 10.1  |  </w:t>
            </w:r>
            <w:r>
              <w:rPr>
                <w:rFonts w:ascii="Arial" w:cs="Arial" w:eastAsia="Arial" w:hAnsi="Arial"/>
                <w:b/>
                <w:bCs/>
                <w:color w:val="FFFFFF"/>
                <w:sz w:val="28"/>
                <w:szCs w:val="28"/>
              </w:rPr>
              <w:t xml:space="preserve">Student Performance Dashboard</w:t>
            </w:r>
          </w:p>
        </w:tc>
      </w:tr>
    </w:tbl>
    <w:p>
      <w:pPr>
        <w:spacing w:before="80" w:after="80"/>
      </w:pPr>
      <w:r>
        <w:t xml:space="preserve"/>
      </w:r>
    </w:p>
    <w:p>
      <w:pPr>
        <w:pStyle w:val="Heading2"/>
        <w:spacing w:before="300" w:after="120"/>
      </w:pPr>
      <w:r>
        <w:rPr>
          <w:rFonts w:ascii="Arial" w:cs="Arial" w:eastAsia="Arial" w:hAnsi="Arial"/>
          <w:b/>
          <w:bCs/>
          <w:color w:val="1E1E2E"/>
          <w:sz w:val="28"/>
          <w:szCs w:val="28"/>
        </w:rPr>
        <w:t xml:space="preserve">Feature Overview</w:t>
      </w:r>
    </w:p>
    <w:p>
      <w:pPr>
        <w:spacing w:before="80" w:after="80"/>
      </w:pPr>
      <w:r>
        <w:rPr>
          <w:rFonts w:ascii="Arial" w:cs="Arial" w:eastAsia="Arial" w:hAnsi="Arial"/>
          <w:color w:val="1E1E2E"/>
          <w:sz w:val="22"/>
          <w:szCs w:val="22"/>
        </w:rPr>
        <w:t xml:space="preserve">The Student Performance Dashboard is the central command interface for tracking any individual student's complete learning and performance journey. It provides a 360-degree view of academic progress, skill development, placement readiness, engagement trends, and behavioral patterns — all in one accessible, real-time interface available to the student, their faculty, and the placement cell.</w:t>
      </w:r>
    </w:p>
    <w:p>
      <w:pPr>
        <w:spacing w:before="80" w:after="80"/>
      </w:pPr>
      <w:r>
        <w:t xml:space="preserve"/>
      </w:r>
    </w:p>
    <w:p>
      <w:pPr>
        <w:spacing w:before="200" w:after="80"/>
      </w:pPr>
      <w:r>
        <w:rPr>
          <w:rFonts w:ascii="Arial" w:cs="Arial" w:eastAsia="Arial" w:hAnsi="Arial"/>
          <w:b/>
          <w:bCs/>
          <w:color w:val="2563EB"/>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E1E2E"/>
          <w:sz w:val="22"/>
          <w:szCs w:val="22"/>
        </w:rPr>
        <w:t xml:space="preserve">Unified performance scorecard: A single, composite performance index combining academic scores, skill assessments, engagement rate, task completion, and placement simulation results</w:t>
      </w:r>
    </w:p>
    <w:p>
      <w:pPr>
        <w:pStyle w:val="ListParagraph"/>
        <w:numPr>
          <w:ilvl w:val="0"/>
          <w:numId w:val="2"/>
        </w:numPr>
        <w:spacing w:before="60" w:after="60"/>
      </w:pPr>
      <w:r>
        <w:rPr>
          <w:rFonts w:ascii="Arial" w:cs="Arial" w:eastAsia="Arial" w:hAnsi="Arial"/>
          <w:b w:val="false"/>
          <w:bCs w:val="false"/>
          <w:color w:val="1E1E2E"/>
          <w:sz w:val="22"/>
          <w:szCs w:val="22"/>
        </w:rPr>
        <w:t xml:space="preserve">Multi-dimensional progress rings: Visual representation of performance across 5 dimensions — Knowledge, Skills, Engagement, Attitude, and Placement Readiness — updated in real time</w:t>
      </w:r>
    </w:p>
    <w:p>
      <w:pPr>
        <w:pStyle w:val="ListParagraph"/>
        <w:numPr>
          <w:ilvl w:val="0"/>
          <w:numId w:val="2"/>
        </w:numPr>
        <w:spacing w:before="60" w:after="60"/>
      </w:pPr>
      <w:r>
        <w:rPr>
          <w:rFonts w:ascii="Arial" w:cs="Arial" w:eastAsia="Arial" w:hAnsi="Arial"/>
          <w:b w:val="false"/>
          <w:bCs w:val="false"/>
          <w:color w:val="1E1E2E"/>
          <w:sz w:val="22"/>
          <w:szCs w:val="22"/>
        </w:rPr>
        <w:t xml:space="preserve">Timeline view: Chronological history of all learning activities, assessment scores, skill milestones, and behavioral events across the student's journey</w:t>
      </w:r>
    </w:p>
    <w:p>
      <w:pPr>
        <w:pStyle w:val="ListParagraph"/>
        <w:numPr>
          <w:ilvl w:val="0"/>
          <w:numId w:val="2"/>
        </w:numPr>
        <w:spacing w:before="60" w:after="60"/>
      </w:pPr>
      <w:r>
        <w:rPr>
          <w:rFonts w:ascii="Arial" w:cs="Arial" w:eastAsia="Arial" w:hAnsi="Arial"/>
          <w:b w:val="false"/>
          <w:bCs w:val="false"/>
          <w:color w:val="1E1E2E"/>
          <w:sz w:val="22"/>
          <w:szCs w:val="22"/>
        </w:rPr>
        <w:t xml:space="preserve">Placement readiness meter: AI-calculated placement readiness score benchmarked against historical placement data for the student's target industry and role</w:t>
      </w:r>
    </w:p>
    <w:p>
      <w:pPr>
        <w:pStyle w:val="ListParagraph"/>
        <w:numPr>
          <w:ilvl w:val="0"/>
          <w:numId w:val="2"/>
        </w:numPr>
        <w:spacing w:before="60" w:after="60"/>
      </w:pPr>
      <w:r>
        <w:rPr>
          <w:rFonts w:ascii="Arial" w:cs="Arial" w:eastAsia="Arial" w:hAnsi="Arial"/>
          <w:b w:val="false"/>
          <w:bCs w:val="false"/>
          <w:color w:val="1E1E2E"/>
          <w:sz w:val="22"/>
          <w:szCs w:val="22"/>
        </w:rPr>
        <w:t xml:space="preserve">Strength and weakness map: Automatically generated radar chart highlighting subject-level and skill-level strengths vs. gaps</w:t>
      </w:r>
    </w:p>
    <w:p>
      <w:pPr>
        <w:pStyle w:val="ListParagraph"/>
        <w:numPr>
          <w:ilvl w:val="0"/>
          <w:numId w:val="2"/>
        </w:numPr>
        <w:spacing w:before="60" w:after="60"/>
      </w:pPr>
      <w:r>
        <w:rPr>
          <w:rFonts w:ascii="Arial" w:cs="Arial" w:eastAsia="Arial" w:hAnsi="Arial"/>
          <w:b w:val="false"/>
          <w:bCs w:val="false"/>
          <w:color w:val="1E1E2E"/>
          <w:sz w:val="22"/>
          <w:szCs w:val="22"/>
        </w:rPr>
        <w:t xml:space="preserve">Comparative performance context: Anonymous benchmarking — student sees how their score compares to batch average and top quartile (no individual names shared)</w:t>
      </w:r>
    </w:p>
    <w:p>
      <w:pPr>
        <w:pStyle w:val="ListParagraph"/>
        <w:numPr>
          <w:ilvl w:val="0"/>
          <w:numId w:val="2"/>
        </w:numPr>
        <w:spacing w:before="60" w:after="60"/>
      </w:pPr>
      <w:r>
        <w:rPr>
          <w:rFonts w:ascii="Arial" w:cs="Arial" w:eastAsia="Arial" w:hAnsi="Arial"/>
          <w:b w:val="false"/>
          <w:bCs w:val="false"/>
          <w:color w:val="1E1E2E"/>
          <w:sz w:val="22"/>
          <w:szCs w:val="22"/>
        </w:rPr>
        <w:t xml:space="preserve">Intervention alerts: Dashboard flags areas where the student's performance is declining or significantly below cohort average with suggested actions</w:t>
      </w:r>
    </w:p>
    <w:p>
      <w:pPr>
        <w:pStyle w:val="ListParagraph"/>
        <w:numPr>
          <w:ilvl w:val="0"/>
          <w:numId w:val="2"/>
        </w:numPr>
        <w:spacing w:before="60" w:after="60"/>
      </w:pPr>
      <w:r>
        <w:rPr>
          <w:rFonts w:ascii="Arial" w:cs="Arial" w:eastAsia="Arial" w:hAnsi="Arial"/>
          <w:b w:val="false"/>
          <w:bCs w:val="false"/>
          <w:color w:val="1E1E2E"/>
          <w:sz w:val="22"/>
          <w:szCs w:val="22"/>
        </w:rPr>
        <w:t xml:space="preserve">Goal tracking module: Students can set personal performance goals; dashboard tracks progress against them with milestone celebrations</w:t>
      </w:r>
    </w:p>
    <w:p>
      <w:pPr>
        <w:pStyle w:val="ListParagraph"/>
        <w:numPr>
          <w:ilvl w:val="0"/>
          <w:numId w:val="2"/>
        </w:numPr>
        <w:spacing w:before="60" w:after="60"/>
      </w:pPr>
      <w:r>
        <w:rPr>
          <w:rFonts w:ascii="Arial" w:cs="Arial" w:eastAsia="Arial" w:hAnsi="Arial"/>
          <w:b w:val="false"/>
          <w:bCs w:val="false"/>
          <w:color w:val="1E1E2E"/>
          <w:sz w:val="22"/>
          <w:szCs w:val="22"/>
        </w:rPr>
        <w:t xml:space="preserve">Multi-role access: Student sees their own view; faculty sees all their students; placement officer sees department-wide; HOD sees full departmental picture</w:t>
      </w:r>
    </w:p>
    <w:p>
      <w:pPr>
        <w:spacing w:before="80" w:after="80"/>
      </w:pPr>
      <w:r>
        <w:t xml:space="preserve"/>
      </w:r>
    </w:p>
    <w:p>
      <w:pPr>
        <w:spacing w:before="200" w:after="80"/>
      </w:pPr>
      <w:r>
        <w:rPr>
          <w:rFonts w:ascii="Arial" w:cs="Arial" w:eastAsia="Arial" w:hAnsi="Arial"/>
          <w:b/>
          <w:bCs/>
          <w:color w:val="2563EB"/>
          <w:sz w:val="24"/>
          <w:szCs w:val="24"/>
        </w:rPr>
        <w:t xml:space="preserve">Stakeholder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r>
              <w:rPr>
                <w:rFonts w:ascii="Arial" w:cs="Arial" w:eastAsia="Arial" w:hAnsi="Arial"/>
                <w:b/>
                <w:bCs/>
                <w:color w:val="1A3C6E"/>
                <w:sz w:val="20"/>
                <w:szCs w:val="20"/>
              </w:rPr>
              <w:t xml:space="preserve">Student</w:t>
            </w:r>
          </w:p>
        </w:tc>
        <w:tc>
          <w:tcPr>
            <w:tcW w:type="dxa" w:w="67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color w:val="1E1E2E"/>
                <w:sz w:val="20"/>
                <w:szCs w:val="20"/>
              </w:rPr>
              <w:t xml:space="preserve">Self-awareness about performance gaps; goal setting; motivation through progress visualization</w:t>
            </w:r>
          </w:p>
        </w:tc>
      </w:tr>
      <w:tr>
        <w:tc>
          <w:tcPr>
            <w:tcW w:type="dxa" w:w="260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r>
              <w:rPr>
                <w:rFonts w:ascii="Arial" w:cs="Arial" w:eastAsia="Arial" w:hAnsi="Arial"/>
                <w:b/>
                <w:bCs/>
                <w:color w:val="1A3C6E"/>
                <w:sz w:val="20"/>
                <w:szCs w:val="20"/>
              </w:rPr>
              <w:t xml:space="preserve">Faculty</w:t>
            </w:r>
          </w:p>
        </w:tc>
        <w:tc>
          <w:tcPr>
            <w:tcW w:type="dxa" w:w="676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r>
              <w:rPr>
                <w:rFonts w:ascii="Arial" w:cs="Arial" w:eastAsia="Arial" w:hAnsi="Arial"/>
                <w:color w:val="1E1E2E"/>
                <w:sz w:val="20"/>
                <w:szCs w:val="20"/>
              </w:rPr>
              <w:t xml:space="preserve">Instant view of any student's complete profile without manual data compilation</w:t>
            </w:r>
          </w:p>
        </w:tc>
      </w:tr>
      <w:tr>
        <w:tc>
          <w:tcPr>
            <w:tcW w:type="dxa" w:w="26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r>
              <w:rPr>
                <w:rFonts w:ascii="Arial" w:cs="Arial" w:eastAsia="Arial" w:hAnsi="Arial"/>
                <w:b/>
                <w:bCs/>
                <w:color w:val="1A3C6E"/>
                <w:sz w:val="20"/>
                <w:szCs w:val="20"/>
              </w:rPr>
              <w:t xml:space="preserve">Placement Cell</w:t>
            </w:r>
          </w:p>
        </w:tc>
        <w:tc>
          <w:tcPr>
            <w:tcW w:type="dxa" w:w="67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color w:val="1E1E2E"/>
                <w:sz w:val="20"/>
                <w:szCs w:val="20"/>
              </w:rPr>
              <w:t xml:space="preserve">Pre-placement readiness scores; ability to identify students needing extra support months before placements</w:t>
            </w:r>
          </w:p>
        </w:tc>
      </w:tr>
      <w:tr>
        <w:tc>
          <w:tcPr>
            <w:tcW w:type="dxa" w:w="260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r>
              <w:rPr>
                <w:rFonts w:ascii="Arial" w:cs="Arial" w:eastAsia="Arial" w:hAnsi="Arial"/>
                <w:b/>
                <w:bCs/>
                <w:color w:val="1A3C6E"/>
                <w:sz w:val="20"/>
                <w:szCs w:val="20"/>
              </w:rPr>
              <w:t xml:space="preserve">Parents</w:t>
            </w:r>
          </w:p>
        </w:tc>
        <w:tc>
          <w:tcPr>
            <w:tcW w:type="dxa" w:w="676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r>
              <w:rPr>
                <w:rFonts w:ascii="Arial" w:cs="Arial" w:eastAsia="Arial" w:hAnsi="Arial"/>
                <w:color w:val="1E1E2E"/>
                <w:sz w:val="20"/>
                <w:szCs w:val="20"/>
              </w:rPr>
              <w:t xml:space="preserve">Optional access to a simplified parent-view showing broad performance indicators and attendance</w:t>
            </w:r>
          </w:p>
        </w:tc>
      </w:tr>
      <w:tr>
        <w:tc>
          <w:tcPr>
            <w:tcW w:type="dxa" w:w="26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r>
              <w:rPr>
                <w:rFonts w:ascii="Arial" w:cs="Arial" w:eastAsia="Arial" w:hAnsi="Arial"/>
                <w:b/>
                <w:bCs/>
                <w:color w:val="1A3C6E"/>
                <w:sz w:val="20"/>
                <w:szCs w:val="20"/>
              </w:rPr>
              <w:t xml:space="preserve">Management</w:t>
            </w:r>
          </w:p>
        </w:tc>
        <w:tc>
          <w:tcPr>
            <w:tcW w:type="dxa" w:w="67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color w:val="1E1E2E"/>
                <w:sz w:val="20"/>
                <w:szCs w:val="20"/>
              </w:rPr>
              <w:t xml:space="preserve">Drill-down to individual student data during accreditation, parent meetings, or crisis interventions</w:t>
            </w:r>
          </w:p>
        </w:tc>
      </w:tr>
    </w:tbl>
    <w:p>
      <w:pPr>
        <w:spacing w:before="80" w:after="80"/>
      </w:pPr>
      <w:r>
        <w:t xml:space="preserve"/>
      </w:r>
    </w:p>
    <w:p>
      <w:pPr>
        <w:spacing w:before="200" w:after="80"/>
      </w:pPr>
      <w:r>
        <w:rPr>
          <w:rFonts w:ascii="Arial" w:cs="Arial" w:eastAsia="Arial" w:hAnsi="Arial"/>
          <w:b/>
          <w:bCs/>
          <w:color w:val="2563EB"/>
          <w:sz w:val="24"/>
          <w:szCs w:val="24"/>
        </w:rPr>
        <w:t xml:space="preserve">Research Insight</w:t>
      </w:r>
    </w:p>
    <w:p>
      <w:pPr>
        <w:spacing w:before="80" w:after="80"/>
      </w:pPr>
      <w:r>
        <w:rPr>
          <w:rFonts w:ascii="Arial" w:cs="Arial" w:eastAsia="Arial" w:hAnsi="Arial"/>
          <w:color w:val="1E1E2E"/>
          <w:sz w:val="22"/>
          <w:szCs w:val="22"/>
        </w:rPr>
        <w:t xml:space="preserve">Self-regulated learning theory (Zimmerman, 2002) establishes that students who have access to accurate, timely feedback on their own performance demonstrate significantly higher achievement motivation and learning persistence. Dashboard visibility empowers students to take corrective action proactively rather than discovering performance gaps only at semester exam time — a shift from reactive to proactive learning management.</w:t>
      </w:r>
    </w:p>
    <w:p>
      <w:pPr>
        <w:spacing w:before="80" w:after="80"/>
      </w:pPr>
      <w:r>
        <w:t xml:space="preserve"/>
      </w:r>
    </w:p>
    <w:p>
      <w:pPr>
        <w:pBdr>
          <w:bottom w:val="single" w:color="B0C8EF" w:sz="6" w:space="1"/>
        </w:pBdr>
        <w:spacing w:before="140" w:after="1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30"/>
              <w:left w:type="dxa" w:w="220"/>
              <w:bottom w:type="dxa" w:w="130"/>
              <w:right w:type="dxa" w:w="220"/>
            </w:tcMar>
          </w:tcPr>
          <w:p>
            <w:r>
              <w:rPr>
                <w:rFonts w:ascii="Arial" w:cs="Arial" w:eastAsia="Arial" w:hAnsi="Arial"/>
                <w:color w:val="E8F0FB"/>
                <w:sz w:val="22"/>
                <w:szCs w:val="22"/>
              </w:rPr>
              <w:t xml:space="preserve">Sub-Feature 10.2  |  </w:t>
            </w:r>
            <w:r>
              <w:rPr>
                <w:rFonts w:ascii="Arial" w:cs="Arial" w:eastAsia="Arial" w:hAnsi="Arial"/>
                <w:b/>
                <w:bCs/>
                <w:color w:val="FFFFFF"/>
                <w:sz w:val="28"/>
                <w:szCs w:val="28"/>
              </w:rPr>
              <w:t xml:space="preserve">Cohort Performance Analytics</w:t>
            </w:r>
          </w:p>
        </w:tc>
      </w:tr>
    </w:tbl>
    <w:p>
      <w:pPr>
        <w:spacing w:before="80" w:after="80"/>
      </w:pPr>
      <w:r>
        <w:t xml:space="preserve"/>
      </w:r>
    </w:p>
    <w:p>
      <w:pPr>
        <w:pStyle w:val="Heading2"/>
        <w:spacing w:before="300" w:after="120"/>
      </w:pPr>
      <w:r>
        <w:rPr>
          <w:rFonts w:ascii="Arial" w:cs="Arial" w:eastAsia="Arial" w:hAnsi="Arial"/>
          <w:b/>
          <w:bCs/>
          <w:color w:val="1E1E2E"/>
          <w:sz w:val="28"/>
          <w:szCs w:val="28"/>
        </w:rPr>
        <w:t xml:space="preserve">Feature Overview</w:t>
      </w:r>
    </w:p>
    <w:p>
      <w:pPr>
        <w:spacing w:before="80" w:after="80"/>
      </w:pPr>
      <w:r>
        <w:rPr>
          <w:rFonts w:ascii="Arial" w:cs="Arial" w:eastAsia="Arial" w:hAnsi="Arial"/>
          <w:color w:val="1E1E2E"/>
          <w:sz w:val="22"/>
          <w:szCs w:val="22"/>
        </w:rPr>
        <w:t xml:space="preserve">Cohort Performance Analytics elevates the view from individual students to batch-level intelligence. It provides department heads, deans, and institutional management with comparative data across batches, departments, programs, and years — enabling evidence-based decisions on curriculum design, trainer allocation, and placement strategy.</w:t>
      </w:r>
    </w:p>
    <w:p>
      <w:pPr>
        <w:spacing w:before="80" w:after="80"/>
      </w:pPr>
      <w:r>
        <w:t xml:space="preserve"/>
      </w:r>
    </w:p>
    <w:p>
      <w:pPr>
        <w:spacing w:before="200" w:after="80"/>
      </w:pPr>
      <w:r>
        <w:rPr>
          <w:rFonts w:ascii="Arial" w:cs="Arial" w:eastAsia="Arial" w:hAnsi="Arial"/>
          <w:b/>
          <w:bCs/>
          <w:color w:val="2563EB"/>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E1E2E"/>
          <w:sz w:val="22"/>
          <w:szCs w:val="22"/>
        </w:rPr>
        <w:t xml:space="preserve">Batch performance distribution: Bell-curve visualization of student performance across the cohort — percentage in top, middle, and bottom quartiles</w:t>
      </w:r>
    </w:p>
    <w:p>
      <w:pPr>
        <w:pStyle w:val="ListParagraph"/>
        <w:numPr>
          <w:ilvl w:val="0"/>
          <w:numId w:val="2"/>
        </w:numPr>
        <w:spacing w:before="60" w:after="60"/>
      </w:pPr>
      <w:r>
        <w:rPr>
          <w:rFonts w:ascii="Arial" w:cs="Arial" w:eastAsia="Arial" w:hAnsi="Arial"/>
          <w:b w:val="false"/>
          <w:bCs w:val="false"/>
          <w:color w:val="1E1E2E"/>
          <w:sz w:val="22"/>
          <w:szCs w:val="22"/>
        </w:rPr>
        <w:t xml:space="preserve">Department vs. department benchmarking: Side-by-side performance comparison across departments, identifying which departments produce stronger placement-ready graduates</w:t>
      </w:r>
    </w:p>
    <w:p>
      <w:pPr>
        <w:pStyle w:val="ListParagraph"/>
        <w:numPr>
          <w:ilvl w:val="0"/>
          <w:numId w:val="2"/>
        </w:numPr>
        <w:spacing w:before="60" w:after="60"/>
      </w:pPr>
      <w:r>
        <w:rPr>
          <w:rFonts w:ascii="Arial" w:cs="Arial" w:eastAsia="Arial" w:hAnsi="Arial"/>
          <w:b w:val="false"/>
          <w:bCs w:val="false"/>
          <w:color w:val="1E1E2E"/>
          <w:sz w:val="22"/>
          <w:szCs w:val="22"/>
        </w:rPr>
        <w:t xml:space="preserve">Year-over-year cohort comparison: How does the current batch compare to 3 previous batches on identical metrics at the same point in their academic year?</w:t>
      </w:r>
    </w:p>
    <w:p>
      <w:pPr>
        <w:pStyle w:val="ListParagraph"/>
        <w:numPr>
          <w:ilvl w:val="0"/>
          <w:numId w:val="2"/>
        </w:numPr>
        <w:spacing w:before="60" w:after="60"/>
      </w:pPr>
      <w:r>
        <w:rPr>
          <w:rFonts w:ascii="Arial" w:cs="Arial" w:eastAsia="Arial" w:hAnsi="Arial"/>
          <w:b w:val="false"/>
          <w:bCs w:val="false"/>
          <w:color w:val="1E1E2E"/>
          <w:sz w:val="22"/>
          <w:szCs w:val="22"/>
        </w:rPr>
        <w:t xml:space="preserve">Subject-wise cohort strength mapping: Aggregate view of which subjects the entire batch is performing well vs. struggling in — directly informing faculty reallocation decisions</w:t>
      </w:r>
    </w:p>
    <w:p>
      <w:pPr>
        <w:pStyle w:val="ListParagraph"/>
        <w:numPr>
          <w:ilvl w:val="0"/>
          <w:numId w:val="2"/>
        </w:numPr>
        <w:spacing w:before="60" w:after="60"/>
      </w:pPr>
      <w:r>
        <w:rPr>
          <w:rFonts w:ascii="Arial" w:cs="Arial" w:eastAsia="Arial" w:hAnsi="Arial"/>
          <w:b w:val="false"/>
          <w:bCs w:val="false"/>
          <w:color w:val="1E1E2E"/>
          <w:sz w:val="22"/>
          <w:szCs w:val="22"/>
        </w:rPr>
        <w:t xml:space="preserve">Placement round simulation performance: Cohort-level data on mock aptitude test, group discussion, and mock interview performance across rounds</w:t>
      </w:r>
    </w:p>
    <w:p>
      <w:pPr>
        <w:pStyle w:val="ListParagraph"/>
        <w:numPr>
          <w:ilvl w:val="0"/>
          <w:numId w:val="2"/>
        </w:numPr>
        <w:spacing w:before="60" w:after="60"/>
      </w:pPr>
      <w:r>
        <w:rPr>
          <w:rFonts w:ascii="Arial" w:cs="Arial" w:eastAsia="Arial" w:hAnsi="Arial"/>
          <w:b w:val="false"/>
          <w:bCs w:val="false"/>
          <w:color w:val="1E1E2E"/>
          <w:sz w:val="22"/>
          <w:szCs w:val="22"/>
        </w:rPr>
        <w:t xml:space="preserve">At-risk student clustering: Automated identification of student clusters showing similar risk patterns (e.g., low engagement + declining assessment scores + missed tasks)</w:t>
      </w:r>
    </w:p>
    <w:p>
      <w:pPr>
        <w:pStyle w:val="ListParagraph"/>
        <w:numPr>
          <w:ilvl w:val="0"/>
          <w:numId w:val="2"/>
        </w:numPr>
        <w:spacing w:before="60" w:after="60"/>
      </w:pPr>
      <w:r>
        <w:rPr>
          <w:rFonts w:ascii="Arial" w:cs="Arial" w:eastAsia="Arial" w:hAnsi="Arial"/>
          <w:b w:val="false"/>
          <w:bCs w:val="false"/>
          <w:color w:val="1E1E2E"/>
          <w:sz w:val="22"/>
          <w:szCs w:val="22"/>
        </w:rPr>
        <w:t xml:space="preserve">Cohort skill gap heatmap: Visual matrix showing which skills across which student segments have the largest gaps relative to industry expectations</w:t>
      </w:r>
    </w:p>
    <w:p>
      <w:pPr>
        <w:pStyle w:val="ListParagraph"/>
        <w:numPr>
          <w:ilvl w:val="0"/>
          <w:numId w:val="2"/>
        </w:numPr>
        <w:spacing w:before="60" w:after="60"/>
      </w:pPr>
      <w:r>
        <w:rPr>
          <w:rFonts w:ascii="Arial" w:cs="Arial" w:eastAsia="Arial" w:hAnsi="Arial"/>
          <w:b w:val="false"/>
          <w:bCs w:val="false"/>
          <w:color w:val="1E1E2E"/>
          <w:sz w:val="22"/>
          <w:szCs w:val="22"/>
        </w:rPr>
        <w:t xml:space="preserve">Seasonal trend analysis: Performance patterns across weeks, months, and semesters — identifying when performance peaks and where it dips (exam stress periods, post-holiday slumps)</w:t>
      </w:r>
    </w:p>
    <w:p>
      <w:pPr>
        <w:pStyle w:val="ListParagraph"/>
        <w:numPr>
          <w:ilvl w:val="0"/>
          <w:numId w:val="2"/>
        </w:numPr>
        <w:spacing w:before="60" w:after="60"/>
      </w:pPr>
      <w:r>
        <w:rPr>
          <w:rFonts w:ascii="Arial" w:cs="Arial" w:eastAsia="Arial" w:hAnsi="Arial"/>
          <w:b w:val="false"/>
          <w:bCs w:val="false"/>
          <w:color w:val="1E1E2E"/>
          <w:sz w:val="22"/>
          <w:szCs w:val="22"/>
        </w:rPr>
        <w:t xml:space="preserve">Export for NAAC/NBA: One-click report generation formatted for regulatory accreditation submissions</w:t>
      </w:r>
    </w:p>
    <w:p>
      <w:pPr>
        <w:spacing w:before="80" w:after="80"/>
      </w:pPr>
      <w:r>
        <w:t xml:space="preserve"/>
      </w:r>
    </w:p>
    <w:p>
      <w:pPr>
        <w:spacing w:before="200" w:after="80"/>
      </w:pPr>
      <w:r>
        <w:rPr>
          <w:rFonts w:ascii="Arial" w:cs="Arial" w:eastAsia="Arial" w:hAnsi="Arial"/>
          <w:b/>
          <w:bCs/>
          <w:color w:val="2563EB"/>
          <w:sz w:val="24"/>
          <w:szCs w:val="24"/>
        </w:rPr>
        <w:t xml:space="preserve">Research Insight</w:t>
      </w:r>
    </w:p>
    <w:p>
      <w:pPr>
        <w:spacing w:before="80" w:after="80"/>
      </w:pPr>
      <w:r>
        <w:rPr>
          <w:rFonts w:ascii="Arial" w:cs="Arial" w:eastAsia="Arial" w:hAnsi="Arial"/>
          <w:color w:val="1E1E2E"/>
          <w:sz w:val="22"/>
          <w:szCs w:val="22"/>
        </w:rPr>
        <w:t xml:space="preserve">Institutional research in education management consistently demonstrates that decision-making based on aggregate student data produces better academic outcomes than intuition-based management. Tinto's model of student persistence (1987, revised 2012) highlights cohort-level support structures — made possible only through cohort analytics — as essential predictors of retention and academic success. For institutes seeking NAAC A+ or NBA accreditation, cohort performance data is a mandatory submission requirement, making this sub-feature a direct compliance enabler.</w:t>
      </w:r>
    </w:p>
    <w:p>
      <w:pPr>
        <w:spacing w:before="80" w:after="80"/>
      </w:pPr>
      <w:r>
        <w:t xml:space="preserve"/>
      </w:r>
    </w:p>
    <w:p>
      <w:pPr>
        <w:pBdr>
          <w:bottom w:val="single" w:color="B0C8EF" w:sz="6" w:space="1"/>
        </w:pBdr>
        <w:spacing w:before="140" w:after="14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30"/>
              <w:left w:type="dxa" w:w="220"/>
              <w:bottom w:type="dxa" w:w="130"/>
              <w:right w:type="dxa" w:w="220"/>
            </w:tcMar>
          </w:tcPr>
          <w:p>
            <w:r>
              <w:rPr>
                <w:rFonts w:ascii="Arial" w:cs="Arial" w:eastAsia="Arial" w:hAnsi="Arial"/>
                <w:color w:val="E8F0FB"/>
                <w:sz w:val="22"/>
                <w:szCs w:val="22"/>
              </w:rPr>
              <w:t xml:space="preserve">Sub-Feature 10.3  |  </w:t>
            </w:r>
            <w:r>
              <w:rPr>
                <w:rFonts w:ascii="Arial" w:cs="Arial" w:eastAsia="Arial" w:hAnsi="Arial"/>
                <w:b/>
                <w:bCs/>
                <w:color w:val="FFFFFF"/>
                <w:sz w:val="28"/>
                <w:szCs w:val="28"/>
              </w:rPr>
              <w:t xml:space="preserve">Learning Progress Tracking</w:t>
            </w:r>
          </w:p>
        </w:tc>
      </w:tr>
    </w:tbl>
    <w:p>
      <w:pPr>
        <w:spacing w:before="80" w:after="80"/>
      </w:pPr>
      <w:r>
        <w:t xml:space="preserve"/>
      </w:r>
    </w:p>
    <w:p>
      <w:pPr>
        <w:pStyle w:val="Heading2"/>
        <w:spacing w:before="300" w:after="120"/>
      </w:pPr>
      <w:r>
        <w:rPr>
          <w:rFonts w:ascii="Arial" w:cs="Arial" w:eastAsia="Arial" w:hAnsi="Arial"/>
          <w:b/>
          <w:bCs/>
          <w:color w:val="1E1E2E"/>
          <w:sz w:val="28"/>
          <w:szCs w:val="28"/>
        </w:rPr>
        <w:t xml:space="preserve">Feature Overview</w:t>
      </w:r>
    </w:p>
    <w:p>
      <w:pPr>
        <w:spacing w:before="80" w:after="80"/>
      </w:pPr>
      <w:r>
        <w:rPr>
          <w:rFonts w:ascii="Arial" w:cs="Arial" w:eastAsia="Arial" w:hAnsi="Arial"/>
          <w:color w:val="1E1E2E"/>
          <w:sz w:val="22"/>
          <w:szCs w:val="22"/>
        </w:rPr>
        <w:t xml:space="preserve">Learning progress is not simply about scores — it is about the trajectory of improvement over time. This sub-feature provides granular, longitudinal tracking of every student's learning journey across modules, subjects, skill units, and placement preparation milestones. It answers the critical question: Is this student actually improving, stagnating, or regressing?</w:t>
      </w:r>
    </w:p>
    <w:p>
      <w:pPr>
        <w:spacing w:before="80" w:after="80"/>
      </w:pPr>
      <w:r>
        <w:t xml:space="preserve"/>
      </w:r>
    </w:p>
    <w:p>
      <w:pPr>
        <w:spacing w:before="200" w:after="80"/>
      </w:pPr>
      <w:r>
        <w:rPr>
          <w:rFonts w:ascii="Arial" w:cs="Arial" w:eastAsia="Arial" w:hAnsi="Arial"/>
          <w:b/>
          <w:bCs/>
          <w:color w:val="2563EB"/>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E1E2E"/>
          <w:sz w:val="22"/>
          <w:szCs w:val="22"/>
        </w:rPr>
        <w:t xml:space="preserve">Module completion tracking: Real-time view of which learning modules each student has started, completed, and revisited — with timestamps and time-spent data</w:t>
      </w:r>
    </w:p>
    <w:p>
      <w:pPr>
        <w:pStyle w:val="ListParagraph"/>
        <w:numPr>
          <w:ilvl w:val="0"/>
          <w:numId w:val="2"/>
        </w:numPr>
        <w:spacing w:before="60" w:after="60"/>
      </w:pPr>
      <w:r>
        <w:rPr>
          <w:rFonts w:ascii="Arial" w:cs="Arial" w:eastAsia="Arial" w:hAnsi="Arial"/>
          <w:b w:val="false"/>
          <w:bCs w:val="false"/>
          <w:color w:val="1E1E2E"/>
          <w:sz w:val="22"/>
          <w:szCs w:val="22"/>
        </w:rPr>
        <w:t xml:space="preserve">Score trajectory charts: Line graphs showing assessment score progression across multiple attempts — distinguishing genuine learning from score volatility</w:t>
      </w:r>
    </w:p>
    <w:p>
      <w:pPr>
        <w:pStyle w:val="ListParagraph"/>
        <w:numPr>
          <w:ilvl w:val="0"/>
          <w:numId w:val="2"/>
        </w:numPr>
        <w:spacing w:before="60" w:after="60"/>
      </w:pPr>
      <w:r>
        <w:rPr>
          <w:rFonts w:ascii="Arial" w:cs="Arial" w:eastAsia="Arial" w:hAnsi="Arial"/>
          <w:b w:val="false"/>
          <w:bCs w:val="false"/>
          <w:color w:val="1E1E2E"/>
          <w:sz w:val="22"/>
          <w:szCs w:val="22"/>
        </w:rPr>
        <w:t xml:space="preserve">Learning velocity metric: Rate of progress through the curriculum relative to cohort average — identifying fast-trackers and laggards early</w:t>
      </w:r>
    </w:p>
    <w:p>
      <w:pPr>
        <w:pStyle w:val="ListParagraph"/>
        <w:numPr>
          <w:ilvl w:val="0"/>
          <w:numId w:val="2"/>
        </w:numPr>
        <w:spacing w:before="60" w:after="60"/>
      </w:pPr>
      <w:r>
        <w:rPr>
          <w:rFonts w:ascii="Arial" w:cs="Arial" w:eastAsia="Arial" w:hAnsi="Arial"/>
          <w:b w:val="false"/>
          <w:bCs w:val="false"/>
          <w:color w:val="1E1E2E"/>
          <w:sz w:val="22"/>
          <w:szCs w:val="22"/>
        </w:rPr>
        <w:t xml:space="preserve">Concept mastery mapping: Per-concept tracking aligned to a knowledge graph — each concept marked as Introduced, Practiced, Mastered, or At-Risk of Forgetting</w:t>
      </w:r>
    </w:p>
    <w:p>
      <w:pPr>
        <w:pStyle w:val="ListParagraph"/>
        <w:numPr>
          <w:ilvl w:val="0"/>
          <w:numId w:val="2"/>
        </w:numPr>
        <w:spacing w:before="60" w:after="60"/>
      </w:pPr>
      <w:r>
        <w:rPr>
          <w:rFonts w:ascii="Arial" w:cs="Arial" w:eastAsia="Arial" w:hAnsi="Arial"/>
          <w:b w:val="false"/>
          <w:bCs w:val="false"/>
          <w:color w:val="1E1E2E"/>
          <w:sz w:val="22"/>
          <w:szCs w:val="22"/>
        </w:rPr>
        <w:t xml:space="preserve">Spaced repetition triggers: System identifies concepts that a student has not revisited within a forgetting curve window and generates review assignments</w:t>
      </w:r>
    </w:p>
    <w:p>
      <w:pPr>
        <w:pStyle w:val="ListParagraph"/>
        <w:numPr>
          <w:ilvl w:val="0"/>
          <w:numId w:val="2"/>
        </w:numPr>
        <w:spacing w:before="60" w:after="60"/>
      </w:pPr>
      <w:r>
        <w:rPr>
          <w:rFonts w:ascii="Arial" w:cs="Arial" w:eastAsia="Arial" w:hAnsi="Arial"/>
          <w:b w:val="false"/>
          <w:bCs w:val="false"/>
          <w:color w:val="1E1E2E"/>
          <w:sz w:val="22"/>
          <w:szCs w:val="22"/>
        </w:rPr>
        <w:t xml:space="preserve">Milestone calendar: Visual progress calendar showing achieved milestones (first mock interview passed, aptitude test cleared, skill certification earned) alongside upcoming deadlines</w:t>
      </w:r>
    </w:p>
    <w:p>
      <w:pPr>
        <w:pStyle w:val="ListParagraph"/>
        <w:numPr>
          <w:ilvl w:val="0"/>
          <w:numId w:val="2"/>
        </w:numPr>
        <w:spacing w:before="60" w:after="60"/>
      </w:pPr>
      <w:r>
        <w:rPr>
          <w:rFonts w:ascii="Arial" w:cs="Arial" w:eastAsia="Arial" w:hAnsi="Arial"/>
          <w:b w:val="false"/>
          <w:bCs w:val="false"/>
          <w:color w:val="1E1E2E"/>
          <w:sz w:val="22"/>
          <w:szCs w:val="22"/>
        </w:rPr>
        <w:t xml:space="preserve">Predictive completion forecast: AI estimates when a student will complete their placement preparation curriculum based on their current learning velocity — with intervention alerts for students at risk of not completing on time</w:t>
      </w:r>
    </w:p>
    <w:p>
      <w:pPr>
        <w:pStyle w:val="ListParagraph"/>
        <w:numPr>
          <w:ilvl w:val="0"/>
          <w:numId w:val="2"/>
        </w:numPr>
        <w:spacing w:before="60" w:after="60"/>
      </w:pPr>
      <w:r>
        <w:rPr>
          <w:rFonts w:ascii="Arial" w:cs="Arial" w:eastAsia="Arial" w:hAnsi="Arial"/>
          <w:b w:val="false"/>
          <w:bCs w:val="false"/>
          <w:color w:val="1E1E2E"/>
          <w:sz w:val="22"/>
          <w:szCs w:val="22"/>
        </w:rPr>
        <w:t xml:space="preserve">Multi-track progress: Students preparing for different career tracks (e.g., core engineering vs. IT vs. management roles) see track-specific progress views</w:t>
      </w:r>
    </w:p>
    <w:p>
      <w:pPr>
        <w:pStyle w:val="ListParagraph"/>
        <w:numPr>
          <w:ilvl w:val="0"/>
          <w:numId w:val="2"/>
        </w:numPr>
        <w:spacing w:before="60" w:after="60"/>
      </w:pPr>
      <w:r>
        <w:rPr>
          <w:rFonts w:ascii="Arial" w:cs="Arial" w:eastAsia="Arial" w:hAnsi="Arial"/>
          <w:b w:val="false"/>
          <w:bCs w:val="false"/>
          <w:color w:val="1E1E2E"/>
          <w:sz w:val="22"/>
          <w:szCs w:val="22"/>
        </w:rPr>
        <w:t xml:space="preserve">Faculty view: Faculty can filter progress data by module, assessment type, date range, and student segment to pinpoint specific instruction gaps</w:t>
      </w:r>
    </w:p>
    <w:p>
      <w:pPr>
        <w:spacing w:before="80" w:after="80"/>
      </w:pPr>
      <w:r>
        <w:t xml:space="preserve"/>
      </w:r>
    </w:p>
    <w:p>
      <w:pPr>
        <w:spacing w:before="200" w:after="80"/>
      </w:pPr>
      <w:r>
        <w:rPr>
          <w:rFonts w:ascii="Arial" w:cs="Arial" w:eastAsia="Arial" w:hAnsi="Arial"/>
          <w:b/>
          <w:bCs/>
          <w:color w:val="2563EB"/>
          <w:sz w:val="24"/>
          <w:szCs w:val="24"/>
        </w:rPr>
        <w:t xml:space="preserve">Research Insight</w:t>
      </w:r>
    </w:p>
    <w:p>
      <w:pPr>
        <w:spacing w:before="80" w:after="80"/>
      </w:pPr>
      <w:r>
        <w:rPr>
          <w:rFonts w:ascii="Arial" w:cs="Arial" w:eastAsia="Arial" w:hAnsi="Arial"/>
          <w:color w:val="1E1E2E"/>
          <w:sz w:val="22"/>
          <w:szCs w:val="22"/>
        </w:rPr>
        <w:t xml:space="preserve">Bloom's mastery learning theory establishes that all students can achieve learning objectives given sufficient time and appropriate instructional support — the key variable is learning velocity, not inherent ability. Learning progress tracking operationalizes this theory by making velocity visible and enabling targeted interventions before learning gaps compound. Research by Roediger and Butler (2011) on the testing effect further confirms that frequent, low-stakes progress assessments improve long-term knowledge retention by over 50% compared to block-study approaches.</w:t>
      </w:r>
    </w:p>
    <w:p>
      <w:pPr>
        <w:spacing w:before="80" w:after="80"/>
      </w:pPr>
      <w:r>
        <w:t xml:space="preserve"/>
      </w:r>
    </w:p>
    <w:p>
      <w:pPr>
        <w:pBdr>
          <w:bottom w:val="single" w:color="B0C8EF" w:sz="6" w:space="1"/>
        </w:pBdr>
        <w:spacing w:before="140" w:after="1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30"/>
              <w:left w:type="dxa" w:w="220"/>
              <w:bottom w:type="dxa" w:w="130"/>
              <w:right w:type="dxa" w:w="220"/>
            </w:tcMar>
          </w:tcPr>
          <w:p>
            <w:r>
              <w:rPr>
                <w:rFonts w:ascii="Arial" w:cs="Arial" w:eastAsia="Arial" w:hAnsi="Arial"/>
                <w:color w:val="E8F0FB"/>
                <w:sz w:val="22"/>
                <w:szCs w:val="22"/>
              </w:rPr>
              <w:t xml:space="preserve">Sub-Feature 10.4  |  </w:t>
            </w:r>
            <w:r>
              <w:rPr>
                <w:rFonts w:ascii="Arial" w:cs="Arial" w:eastAsia="Arial" w:hAnsi="Arial"/>
                <w:b/>
                <w:bCs/>
                <w:color w:val="FFFFFF"/>
                <w:sz w:val="28"/>
                <w:szCs w:val="28"/>
              </w:rPr>
              <w:t xml:space="preserve">Skill Growth Tracking</w:t>
            </w:r>
          </w:p>
        </w:tc>
      </w:tr>
    </w:tbl>
    <w:p>
      <w:pPr>
        <w:spacing w:before="80" w:after="80"/>
      </w:pPr>
      <w:r>
        <w:t xml:space="preserve"/>
      </w:r>
    </w:p>
    <w:p>
      <w:pPr>
        <w:pStyle w:val="Heading2"/>
        <w:spacing w:before="300" w:after="120"/>
      </w:pPr>
      <w:r>
        <w:rPr>
          <w:rFonts w:ascii="Arial" w:cs="Arial" w:eastAsia="Arial" w:hAnsi="Arial"/>
          <w:b/>
          <w:bCs/>
          <w:color w:val="1E1E2E"/>
          <w:sz w:val="28"/>
          <w:szCs w:val="28"/>
        </w:rPr>
        <w:t xml:space="preserve">Feature Overview</w:t>
      </w:r>
    </w:p>
    <w:p>
      <w:pPr>
        <w:spacing w:before="80" w:after="80"/>
      </w:pPr>
      <w:r>
        <w:rPr>
          <w:rFonts w:ascii="Arial" w:cs="Arial" w:eastAsia="Arial" w:hAnsi="Arial"/>
          <w:color w:val="1E1E2E"/>
          <w:sz w:val="22"/>
          <w:szCs w:val="22"/>
        </w:rPr>
        <w:t xml:space="preserve">In the campus placement context, skill growth is the most commercially relevant dimension of student performance. Employers hire for skills — technical, domain, and behavioral. This sub-feature provides a dedicated skill growth tracking system that maps each student's skill development trajectory against industry benchmarks, placement requirements, and self-set goals.</w:t>
      </w:r>
    </w:p>
    <w:p>
      <w:pPr>
        <w:spacing w:before="80" w:after="80"/>
      </w:pPr>
      <w:r>
        <w:t xml:space="preserve"/>
      </w:r>
    </w:p>
    <w:p>
      <w:pPr>
        <w:spacing w:before="200" w:after="80"/>
      </w:pPr>
      <w:r>
        <w:rPr>
          <w:rFonts w:ascii="Arial" w:cs="Arial" w:eastAsia="Arial" w:hAnsi="Arial"/>
          <w:b/>
          <w:bCs/>
          <w:color w:val="2563EB"/>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E1E2E"/>
          <w:sz w:val="22"/>
          <w:szCs w:val="22"/>
        </w:rPr>
        <w:t xml:space="preserve">Skill taxonomy architecture: A structured skill tree covering Technical Skills (by domain), Aptitude &amp; Quantitative, Communication &amp; Language, Soft Skills &amp; Professional Behavior, Domain-specific Knowledge, and Tool Proficiency</w:t>
      </w:r>
    </w:p>
    <w:p>
      <w:pPr>
        <w:pStyle w:val="ListParagraph"/>
        <w:numPr>
          <w:ilvl w:val="0"/>
          <w:numId w:val="2"/>
        </w:numPr>
        <w:spacing w:before="60" w:after="60"/>
      </w:pPr>
      <w:r>
        <w:rPr>
          <w:rFonts w:ascii="Arial" w:cs="Arial" w:eastAsia="Arial" w:hAnsi="Arial"/>
          <w:b w:val="false"/>
          <w:bCs w:val="false"/>
          <w:color w:val="1E1E2E"/>
          <w:sz w:val="22"/>
          <w:szCs w:val="22"/>
        </w:rPr>
        <w:t xml:space="preserve">Skill baseline assessment: Entry-level skill benchmark captured at the beginning of the program — the starting point from which growth is measured</w:t>
      </w:r>
    </w:p>
    <w:p>
      <w:pPr>
        <w:pStyle w:val="ListParagraph"/>
        <w:numPr>
          <w:ilvl w:val="0"/>
          <w:numId w:val="2"/>
        </w:numPr>
        <w:spacing w:before="60" w:after="60"/>
      </w:pPr>
      <w:r>
        <w:rPr>
          <w:rFonts w:ascii="Arial" w:cs="Arial" w:eastAsia="Arial" w:hAnsi="Arial"/>
          <w:b w:val="false"/>
          <w:bCs w:val="false"/>
          <w:color w:val="1E1E2E"/>
          <w:sz w:val="22"/>
          <w:szCs w:val="22"/>
        </w:rPr>
        <w:t xml:space="preserve">Periodic skill re-assessment: Scheduled reassessments at 30-day, 60-day, and 90-day intervals with automatic growth delta calculation</w:t>
      </w:r>
    </w:p>
    <w:p>
      <w:pPr>
        <w:pStyle w:val="ListParagraph"/>
        <w:numPr>
          <w:ilvl w:val="0"/>
          <w:numId w:val="2"/>
        </w:numPr>
        <w:spacing w:before="60" w:after="60"/>
      </w:pPr>
      <w:r>
        <w:rPr>
          <w:rFonts w:ascii="Arial" w:cs="Arial" w:eastAsia="Arial" w:hAnsi="Arial"/>
          <w:b w:val="false"/>
          <w:bCs w:val="false"/>
          <w:color w:val="1E1E2E"/>
          <w:sz w:val="22"/>
          <w:szCs w:val="22"/>
        </w:rPr>
        <w:t xml:space="preserve">Skill growth velocity graph: Visual representation of how quickly a student is developing each skill category — enabling comparison to peer average and industry minimum threshold</w:t>
      </w:r>
    </w:p>
    <w:p>
      <w:pPr>
        <w:pStyle w:val="ListParagraph"/>
        <w:numPr>
          <w:ilvl w:val="0"/>
          <w:numId w:val="2"/>
        </w:numPr>
        <w:spacing w:before="60" w:after="60"/>
      </w:pPr>
      <w:r>
        <w:rPr>
          <w:rFonts w:ascii="Arial" w:cs="Arial" w:eastAsia="Arial" w:hAnsi="Arial"/>
          <w:b w:val="false"/>
          <w:bCs w:val="false"/>
          <w:color w:val="1E1E2E"/>
          <w:sz w:val="22"/>
          <w:szCs w:val="22"/>
        </w:rPr>
        <w:t xml:space="preserve">Industry benchmark overlay: Each skill scored against published industry minimum expectations for the student's target role/sector — gap clearly highlighted</w:t>
      </w:r>
    </w:p>
    <w:p>
      <w:pPr>
        <w:pStyle w:val="ListParagraph"/>
        <w:numPr>
          <w:ilvl w:val="0"/>
          <w:numId w:val="2"/>
        </w:numPr>
        <w:spacing w:before="60" w:after="60"/>
      </w:pPr>
      <w:r>
        <w:rPr>
          <w:rFonts w:ascii="Arial" w:cs="Arial" w:eastAsia="Arial" w:hAnsi="Arial"/>
          <w:b w:val="false"/>
          <w:bCs w:val="false"/>
          <w:color w:val="1E1E2E"/>
          <w:sz w:val="22"/>
          <w:szCs w:val="22"/>
        </w:rPr>
        <w:t xml:space="preserve">Micro-certification tracking: Students earn skill badges and micro-certifications as they reach verified proficiency thresholds; badges appear on placement profile</w:t>
      </w:r>
    </w:p>
    <w:p>
      <w:pPr>
        <w:pStyle w:val="ListParagraph"/>
        <w:numPr>
          <w:ilvl w:val="0"/>
          <w:numId w:val="2"/>
        </w:numPr>
        <w:spacing w:before="60" w:after="60"/>
      </w:pPr>
      <w:r>
        <w:rPr>
          <w:rFonts w:ascii="Arial" w:cs="Arial" w:eastAsia="Arial" w:hAnsi="Arial"/>
          <w:b w:val="false"/>
          <w:bCs w:val="false"/>
          <w:color w:val="1E1E2E"/>
          <w:sz w:val="22"/>
          <w:szCs w:val="22"/>
        </w:rPr>
        <w:t xml:space="preserve">Skill endorsement from trainers: Trainers can formally endorse a student's proficiency in a specific skill — adding human validation to algorithm-measured scores</w:t>
      </w:r>
    </w:p>
    <w:p>
      <w:pPr>
        <w:pStyle w:val="ListParagraph"/>
        <w:numPr>
          <w:ilvl w:val="0"/>
          <w:numId w:val="2"/>
        </w:numPr>
        <w:spacing w:before="60" w:after="60"/>
      </w:pPr>
      <w:r>
        <w:rPr>
          <w:rFonts w:ascii="Arial" w:cs="Arial" w:eastAsia="Arial" w:hAnsi="Arial"/>
          <w:b w:val="false"/>
          <w:bCs w:val="false"/>
          <w:color w:val="1E1E2E"/>
          <w:sz w:val="22"/>
          <w:szCs w:val="22"/>
        </w:rPr>
        <w:t xml:space="preserve">Placement relevance scoring: Each skill weighted by its statistical correlation to placement success in the student's target role — showing students which skills to prioritize</w:t>
      </w:r>
    </w:p>
    <w:p>
      <w:pPr>
        <w:pStyle w:val="ListParagraph"/>
        <w:numPr>
          <w:ilvl w:val="0"/>
          <w:numId w:val="2"/>
        </w:numPr>
        <w:spacing w:before="60" w:after="60"/>
      </w:pPr>
      <w:r>
        <w:rPr>
          <w:rFonts w:ascii="Arial" w:cs="Arial" w:eastAsia="Arial" w:hAnsi="Arial"/>
          <w:b w:val="false"/>
          <w:bCs w:val="false"/>
          <w:color w:val="1E1E2E"/>
          <w:sz w:val="22"/>
          <w:szCs w:val="22"/>
        </w:rPr>
        <w:t xml:space="preserve">Skill gap alert to placement cell: When a student's skill profile falls below placement eligibility thresholds for target companies, the placement officer is automatically notified</w:t>
      </w:r>
    </w:p>
    <w:p>
      <w:pPr>
        <w:spacing w:before="80" w:after="80"/>
      </w:pPr>
      <w:r>
        <w:t xml:space="preserve"/>
      </w:r>
    </w:p>
    <w:p>
      <w:pPr>
        <w:spacing w:before="200" w:after="80"/>
      </w:pPr>
      <w:r>
        <w:rPr>
          <w:rFonts w:ascii="Arial" w:cs="Arial" w:eastAsia="Arial" w:hAnsi="Arial"/>
          <w:b/>
          <w:bCs/>
          <w:color w:val="2563EB"/>
          <w:sz w:val="24"/>
          <w:szCs w:val="24"/>
        </w:rPr>
        <w:t xml:space="preserve">Stakeholder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r>
              <w:rPr>
                <w:rFonts w:ascii="Arial" w:cs="Arial" w:eastAsia="Arial" w:hAnsi="Arial"/>
                <w:b/>
                <w:bCs/>
                <w:color w:val="1A3C6E"/>
                <w:sz w:val="20"/>
                <w:szCs w:val="20"/>
              </w:rPr>
              <w:t xml:space="preserve">Student</w:t>
            </w:r>
          </w:p>
        </w:tc>
        <w:tc>
          <w:tcPr>
            <w:tcW w:type="dxa" w:w="67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color w:val="1E1E2E"/>
                <w:sz w:val="20"/>
                <w:szCs w:val="20"/>
              </w:rPr>
              <w:t xml:space="preserve">Clear visibility into which skills to develop next; motivation via badge milestones; competitive benchmarking</w:t>
            </w:r>
          </w:p>
        </w:tc>
      </w:tr>
      <w:tr>
        <w:tc>
          <w:tcPr>
            <w:tcW w:type="dxa" w:w="260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r>
              <w:rPr>
                <w:rFonts w:ascii="Arial" w:cs="Arial" w:eastAsia="Arial" w:hAnsi="Arial"/>
                <w:b/>
                <w:bCs/>
                <w:color w:val="1A3C6E"/>
                <w:sz w:val="20"/>
                <w:szCs w:val="20"/>
              </w:rPr>
              <w:t xml:space="preserve">Trainer</w:t>
            </w:r>
          </w:p>
        </w:tc>
        <w:tc>
          <w:tcPr>
            <w:tcW w:type="dxa" w:w="676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r>
              <w:rPr>
                <w:rFonts w:ascii="Arial" w:cs="Arial" w:eastAsia="Arial" w:hAnsi="Arial"/>
                <w:color w:val="1E1E2E"/>
                <w:sz w:val="20"/>
                <w:szCs w:val="20"/>
              </w:rPr>
              <w:t xml:space="preserve">Data on which skill areas are improving vs. stagnant; ability to adjust training intensity per skill</w:t>
            </w:r>
          </w:p>
        </w:tc>
      </w:tr>
      <w:tr>
        <w:tc>
          <w:tcPr>
            <w:tcW w:type="dxa" w:w="26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r>
              <w:rPr>
                <w:rFonts w:ascii="Arial" w:cs="Arial" w:eastAsia="Arial" w:hAnsi="Arial"/>
                <w:b/>
                <w:bCs/>
                <w:color w:val="1A3C6E"/>
                <w:sz w:val="20"/>
                <w:szCs w:val="20"/>
              </w:rPr>
              <w:t xml:space="preserve">Placement Cell</w:t>
            </w:r>
          </w:p>
        </w:tc>
        <w:tc>
          <w:tcPr>
            <w:tcW w:type="dxa" w:w="67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color w:val="1E1E2E"/>
                <w:sz w:val="20"/>
                <w:szCs w:val="20"/>
              </w:rPr>
              <w:t xml:space="preserve">Skill readiness data for company-specific shortlisting; pre-verified skill profiles reduce placement round drop rates</w:t>
            </w:r>
          </w:p>
        </w:tc>
      </w:tr>
      <w:tr>
        <w:tc>
          <w:tcPr>
            <w:tcW w:type="dxa" w:w="260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r>
              <w:rPr>
                <w:rFonts w:ascii="Arial" w:cs="Arial" w:eastAsia="Arial" w:hAnsi="Arial"/>
                <w:b/>
                <w:bCs/>
                <w:color w:val="1A3C6E"/>
                <w:sz w:val="20"/>
                <w:szCs w:val="20"/>
              </w:rPr>
              <w:t xml:space="preserve">HOD</w:t>
            </w:r>
          </w:p>
        </w:tc>
        <w:tc>
          <w:tcPr>
            <w:tcW w:type="dxa" w:w="676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r>
              <w:rPr>
                <w:rFonts w:ascii="Arial" w:cs="Arial" w:eastAsia="Arial" w:hAnsi="Arial"/>
                <w:color w:val="1E1E2E"/>
                <w:sz w:val="20"/>
                <w:szCs w:val="20"/>
              </w:rPr>
              <w:t xml:space="preserve">Department-level skill gap data informs elective subject offerings and curriculum revision priorities</w:t>
            </w:r>
          </w:p>
        </w:tc>
      </w:tr>
      <w:tr>
        <w:tc>
          <w:tcPr>
            <w:tcW w:type="dxa" w:w="26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r>
              <w:rPr>
                <w:rFonts w:ascii="Arial" w:cs="Arial" w:eastAsia="Arial" w:hAnsi="Arial"/>
                <w:b/>
                <w:bCs/>
                <w:color w:val="1A3C6E"/>
                <w:sz w:val="20"/>
                <w:szCs w:val="20"/>
              </w:rPr>
              <w:t xml:space="preserve">Companies</w:t>
            </w:r>
          </w:p>
        </w:tc>
        <w:tc>
          <w:tcPr>
            <w:tcW w:type="dxa" w:w="67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color w:val="1E1E2E"/>
                <w:sz w:val="20"/>
                <w:szCs w:val="20"/>
              </w:rPr>
              <w:t xml:space="preserve">Verified, data-backed skill profiles replace self-reported student resumes — significantly improving hire quality</w:t>
            </w:r>
          </w:p>
        </w:tc>
      </w:tr>
    </w:tbl>
    <w:p>
      <w:pPr>
        <w:spacing w:before="80" w:after="80"/>
      </w:pPr>
      <w:r>
        <w:t xml:space="preserve"/>
      </w:r>
    </w:p>
    <w:p>
      <w:pPr>
        <w:spacing w:before="200" w:after="80"/>
      </w:pPr>
      <w:r>
        <w:rPr>
          <w:rFonts w:ascii="Arial" w:cs="Arial" w:eastAsia="Arial" w:hAnsi="Arial"/>
          <w:b/>
          <w:bCs/>
          <w:color w:val="2563EB"/>
          <w:sz w:val="24"/>
          <w:szCs w:val="24"/>
        </w:rPr>
        <w:t xml:space="preserve">Research Insight</w:t>
      </w:r>
    </w:p>
    <w:p>
      <w:pPr>
        <w:spacing w:before="80" w:after="80"/>
      </w:pPr>
      <w:r>
        <w:rPr>
          <w:rFonts w:ascii="Arial" w:cs="Arial" w:eastAsia="Arial" w:hAnsi="Arial"/>
          <w:color w:val="1E1E2E"/>
          <w:sz w:val="22"/>
          <w:szCs w:val="22"/>
        </w:rPr>
        <w:t xml:space="preserve">The World Economic Forum's Future of Jobs Report (2023) identifies skill tracking and continuous reskilling as core institutional responsibilities in preparing graduates for dynamic labor markets. Research by Heckman and Kautz (2012) on human capital development further establishes that soft skill growth — measurable through behavioral assessment — has equal or greater influence on long-term employment outcomes than technical skill development alone. Skill growth tracking with employer-facing visibility directly bridges the persistent information asymmetry between graduate skill supply and employer skill demand.</w:t>
      </w:r>
    </w:p>
    <w:p>
      <w:pPr>
        <w:spacing w:before="80" w:after="80"/>
      </w:pPr>
      <w:r>
        <w:t xml:space="preserve"/>
      </w:r>
    </w:p>
    <w:p>
      <w:pPr>
        <w:pBdr>
          <w:bottom w:val="single" w:color="B0C8EF" w:sz="6" w:space="1"/>
        </w:pBdr>
        <w:spacing w:before="140" w:after="14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30"/>
              <w:left w:type="dxa" w:w="220"/>
              <w:bottom w:type="dxa" w:w="130"/>
              <w:right w:type="dxa" w:w="220"/>
            </w:tcMar>
          </w:tcPr>
          <w:p>
            <w:r>
              <w:rPr>
                <w:rFonts w:ascii="Arial" w:cs="Arial" w:eastAsia="Arial" w:hAnsi="Arial"/>
                <w:color w:val="E8F0FB"/>
                <w:sz w:val="22"/>
                <w:szCs w:val="22"/>
              </w:rPr>
              <w:t xml:space="preserve">Sub-Feature 10.5  |  </w:t>
            </w:r>
            <w:r>
              <w:rPr>
                <w:rFonts w:ascii="Arial" w:cs="Arial" w:eastAsia="Arial" w:hAnsi="Arial"/>
                <w:b/>
                <w:bCs/>
                <w:color w:val="FFFFFF"/>
                <w:sz w:val="28"/>
                <w:szCs w:val="28"/>
              </w:rPr>
              <w:t xml:space="preserve">Engagement Analytics</w:t>
            </w:r>
          </w:p>
        </w:tc>
      </w:tr>
    </w:tbl>
    <w:p>
      <w:pPr>
        <w:spacing w:before="80" w:after="80"/>
      </w:pPr>
      <w:r>
        <w:t xml:space="preserve"/>
      </w:r>
    </w:p>
    <w:p>
      <w:pPr>
        <w:pStyle w:val="Heading2"/>
        <w:spacing w:before="300" w:after="120"/>
      </w:pPr>
      <w:r>
        <w:rPr>
          <w:rFonts w:ascii="Arial" w:cs="Arial" w:eastAsia="Arial" w:hAnsi="Arial"/>
          <w:b/>
          <w:bCs/>
          <w:color w:val="1E1E2E"/>
          <w:sz w:val="28"/>
          <w:szCs w:val="28"/>
        </w:rPr>
        <w:t xml:space="preserve">Feature Overview</w:t>
      </w:r>
    </w:p>
    <w:p>
      <w:pPr>
        <w:spacing w:before="80" w:after="80"/>
      </w:pPr>
      <w:r>
        <w:rPr>
          <w:rFonts w:ascii="Arial" w:cs="Arial" w:eastAsia="Arial" w:hAnsi="Arial"/>
          <w:color w:val="1E1E2E"/>
          <w:sz w:val="22"/>
          <w:szCs w:val="22"/>
        </w:rPr>
        <w:t xml:space="preserve">Engagement is the strongest leading indicator of learning outcomes and placement success. A student who consistently engages — attends sessions, completes tasks, revisits content, participates in discussions — will outperform a higher-aptitude student who disengages. Engagement Analytics provides real-time, multi-dimensional visibility into how actively each student — and the entire cohort — is participating in the learning ecosystem.</w:t>
      </w:r>
    </w:p>
    <w:p>
      <w:pPr>
        <w:spacing w:before="80" w:after="80"/>
      </w:pPr>
      <w:r>
        <w:t xml:space="preserve"/>
      </w:r>
    </w:p>
    <w:p>
      <w:pPr>
        <w:spacing w:before="200" w:after="80"/>
      </w:pPr>
      <w:r>
        <w:rPr>
          <w:rFonts w:ascii="Arial" w:cs="Arial" w:eastAsia="Arial" w:hAnsi="Arial"/>
          <w:b/>
          <w:bCs/>
          <w:color w:val="2563EB"/>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E1E2E"/>
          <w:sz w:val="22"/>
          <w:szCs w:val="22"/>
        </w:rPr>
        <w:t xml:space="preserve">Engagement composite score: A single score synthesizing 8 engagement signals — session attendance, content interaction, task submission rate, discussion participation, resource downloads, quiz attempts, peer collaboration, and platform login frequency</w:t>
      </w:r>
    </w:p>
    <w:p>
      <w:pPr>
        <w:pStyle w:val="ListParagraph"/>
        <w:numPr>
          <w:ilvl w:val="0"/>
          <w:numId w:val="2"/>
        </w:numPr>
        <w:spacing w:before="60" w:after="60"/>
      </w:pPr>
      <w:r>
        <w:rPr>
          <w:rFonts w:ascii="Arial" w:cs="Arial" w:eastAsia="Arial" w:hAnsi="Arial"/>
          <w:b w:val="false"/>
          <w:bCs w:val="false"/>
          <w:color w:val="1E1E2E"/>
          <w:sz w:val="22"/>
          <w:szCs w:val="22"/>
        </w:rPr>
        <w:t xml:space="preserve">Session-level engagement tracking: Live and recorded session engagement — time spent, segments replayed, notes taken, questions submitted, polls responded to</w:t>
      </w:r>
    </w:p>
    <w:p>
      <w:pPr>
        <w:pStyle w:val="ListParagraph"/>
        <w:numPr>
          <w:ilvl w:val="0"/>
          <w:numId w:val="2"/>
        </w:numPr>
        <w:spacing w:before="60" w:after="60"/>
      </w:pPr>
      <w:r>
        <w:rPr>
          <w:rFonts w:ascii="Arial" w:cs="Arial" w:eastAsia="Arial" w:hAnsi="Arial"/>
          <w:b w:val="false"/>
          <w:bCs w:val="false"/>
          <w:color w:val="1E1E2E"/>
          <w:sz w:val="22"/>
          <w:szCs w:val="22"/>
        </w:rPr>
        <w:t xml:space="preserve">Content engagement depth: Distinguishing passive content consumption (opened but not completed) from active engagement (completed, annotated, bookmarked, revisited)</w:t>
      </w:r>
    </w:p>
    <w:p>
      <w:pPr>
        <w:pStyle w:val="ListParagraph"/>
        <w:numPr>
          <w:ilvl w:val="0"/>
          <w:numId w:val="2"/>
        </w:numPr>
        <w:spacing w:before="60" w:after="60"/>
      </w:pPr>
      <w:r>
        <w:rPr>
          <w:rFonts w:ascii="Arial" w:cs="Arial" w:eastAsia="Arial" w:hAnsi="Arial"/>
          <w:b w:val="false"/>
          <w:bCs w:val="false"/>
          <w:color w:val="1E1E2E"/>
          <w:sz w:val="22"/>
          <w:szCs w:val="22"/>
        </w:rPr>
        <w:t xml:space="preserve">Discussion and peer engagement: Volume and quality of peer discussion contributions — number of posts, response rate, upvotes received, peer help given</w:t>
      </w:r>
    </w:p>
    <w:p>
      <w:pPr>
        <w:pStyle w:val="ListParagraph"/>
        <w:numPr>
          <w:ilvl w:val="0"/>
          <w:numId w:val="2"/>
        </w:numPr>
        <w:spacing w:before="60" w:after="60"/>
      </w:pPr>
      <w:r>
        <w:rPr>
          <w:rFonts w:ascii="Arial" w:cs="Arial" w:eastAsia="Arial" w:hAnsi="Arial"/>
          <w:b w:val="false"/>
          <w:bCs w:val="false"/>
          <w:color w:val="1E1E2E"/>
          <w:sz w:val="22"/>
          <w:szCs w:val="22"/>
        </w:rPr>
        <w:t xml:space="preserve">Engagement trend alerts: Automated flags when a student's engagement score drops significantly over a 7-day or 14-day window — triggering faculty outreach prompts</w:t>
      </w:r>
    </w:p>
    <w:p>
      <w:pPr>
        <w:pStyle w:val="ListParagraph"/>
        <w:numPr>
          <w:ilvl w:val="0"/>
          <w:numId w:val="2"/>
        </w:numPr>
        <w:spacing w:before="60" w:after="60"/>
      </w:pPr>
      <w:r>
        <w:rPr>
          <w:rFonts w:ascii="Arial" w:cs="Arial" w:eastAsia="Arial" w:hAnsi="Arial"/>
          <w:b w:val="false"/>
          <w:bCs w:val="false"/>
          <w:color w:val="1E1E2E"/>
          <w:sz w:val="22"/>
          <w:szCs w:val="22"/>
        </w:rPr>
        <w:t xml:space="preserve">Engagement vs. performance correlation view: For each student, shows the relationship between engagement intensity and assessment performance — validating or challenging assumptions about effort vs. outcome</w:t>
      </w:r>
    </w:p>
    <w:p>
      <w:pPr>
        <w:pStyle w:val="ListParagraph"/>
        <w:numPr>
          <w:ilvl w:val="0"/>
          <w:numId w:val="2"/>
        </w:numPr>
        <w:spacing w:before="60" w:after="60"/>
      </w:pPr>
      <w:r>
        <w:rPr>
          <w:rFonts w:ascii="Arial" w:cs="Arial" w:eastAsia="Arial" w:hAnsi="Arial"/>
          <w:b w:val="false"/>
          <w:bCs w:val="false"/>
          <w:color w:val="1E1E2E"/>
          <w:sz w:val="22"/>
          <w:szCs w:val="22"/>
        </w:rPr>
        <w:t xml:space="preserve">Time-of-day engagement patterns: When does each student (and the cohort) engage most actively? Data informs optimal session scheduling for maximum participation</w:t>
      </w:r>
    </w:p>
    <w:p>
      <w:pPr>
        <w:pStyle w:val="ListParagraph"/>
        <w:numPr>
          <w:ilvl w:val="0"/>
          <w:numId w:val="2"/>
        </w:numPr>
        <w:spacing w:before="60" w:after="60"/>
      </w:pPr>
      <w:r>
        <w:rPr>
          <w:rFonts w:ascii="Arial" w:cs="Arial" w:eastAsia="Arial" w:hAnsi="Arial"/>
          <w:b w:val="false"/>
          <w:bCs w:val="false"/>
          <w:color w:val="1E1E2E"/>
          <w:sz w:val="22"/>
          <w:szCs w:val="22"/>
        </w:rPr>
        <w:t xml:space="preserve">Drop-off point analysis: Identifies the specific content modules, session types, or task formats where student engagement drops most sharply — enabling content redesign</w:t>
      </w:r>
    </w:p>
    <w:p>
      <w:pPr>
        <w:pStyle w:val="ListParagraph"/>
        <w:numPr>
          <w:ilvl w:val="0"/>
          <w:numId w:val="2"/>
        </w:numPr>
        <w:spacing w:before="60" w:after="60"/>
      </w:pPr>
      <w:r>
        <w:rPr>
          <w:rFonts w:ascii="Arial" w:cs="Arial" w:eastAsia="Arial" w:hAnsi="Arial"/>
          <w:b w:val="false"/>
          <w:bCs w:val="false"/>
          <w:color w:val="1E1E2E"/>
          <w:sz w:val="22"/>
          <w:szCs w:val="22"/>
        </w:rPr>
        <w:t xml:space="preserve">Engagement leaderboard (optional): A gamified view showing top-engaged students in the cohort — motivating peers through transparent, positive competition</w:t>
      </w:r>
    </w:p>
    <w:p>
      <w:pPr>
        <w:spacing w:before="80" w:after="80"/>
      </w:pPr>
      <w:r>
        <w:t xml:space="preserve"/>
      </w:r>
    </w:p>
    <w:p>
      <w:pPr>
        <w:spacing w:before="200" w:after="80"/>
      </w:pPr>
      <w:r>
        <w:rPr>
          <w:rFonts w:ascii="Arial" w:cs="Arial" w:eastAsia="Arial" w:hAnsi="Arial"/>
          <w:b/>
          <w:bCs/>
          <w:color w:val="2563EB"/>
          <w:sz w:val="24"/>
          <w:szCs w:val="24"/>
        </w:rPr>
        <w:t xml:space="preserve">Research Insight</w:t>
      </w:r>
    </w:p>
    <w:p>
      <w:pPr>
        <w:spacing w:before="80" w:after="80"/>
      </w:pPr>
      <w:r>
        <w:rPr>
          <w:rFonts w:ascii="Arial" w:cs="Arial" w:eastAsia="Arial" w:hAnsi="Arial"/>
          <w:color w:val="1E1E2E"/>
          <w:sz w:val="22"/>
          <w:szCs w:val="22"/>
        </w:rPr>
        <w:t xml:space="preserve">Fredricks, Blumenfeld, and Paris's tripartite engagement model (2004) identifies behavioral, cognitive, and emotional engagement as the three dimensions that collectively predict academic achievement and persistence. Research by Coates (2007) further demonstrates that institutional-level engagement analytics — when acted upon — produce measurable improvements in student retention and academic outcomes within a single academic year. Engagement analytics is particularly critical for blended and digital-first learning environments, where the absence of physical attendance cues makes engagement measurement a technical necessity rather than a convenience.</w:t>
      </w:r>
    </w:p>
    <w:p>
      <w:pPr>
        <w:spacing w:before="80" w:after="80"/>
      </w:pPr>
      <w:r>
        <w:t xml:space="preserve"/>
      </w:r>
    </w:p>
    <w:p>
      <w:pPr>
        <w:pBdr>
          <w:bottom w:val="single" w:color="B0C8EF" w:sz="6" w:space="1"/>
        </w:pBdr>
        <w:spacing w:before="140" w:after="1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30"/>
              <w:left w:type="dxa" w:w="220"/>
              <w:bottom w:type="dxa" w:w="130"/>
              <w:right w:type="dxa" w:w="220"/>
            </w:tcMar>
          </w:tcPr>
          <w:p>
            <w:r>
              <w:rPr>
                <w:rFonts w:ascii="Arial" w:cs="Arial" w:eastAsia="Arial" w:hAnsi="Arial"/>
                <w:color w:val="E8F0FB"/>
                <w:sz w:val="22"/>
                <w:szCs w:val="22"/>
              </w:rPr>
              <w:t xml:space="preserve">Sub-Feature 10.6  |  </w:t>
            </w:r>
            <w:r>
              <w:rPr>
                <w:rFonts w:ascii="Arial" w:cs="Arial" w:eastAsia="Arial" w:hAnsi="Arial"/>
                <w:b/>
                <w:bCs/>
                <w:color w:val="FFFFFF"/>
                <w:sz w:val="28"/>
                <w:szCs w:val="28"/>
              </w:rPr>
              <w:t xml:space="preserve">Trainer Impact Analytics</w:t>
            </w:r>
          </w:p>
        </w:tc>
      </w:tr>
    </w:tbl>
    <w:p>
      <w:pPr>
        <w:spacing w:before="80" w:after="80"/>
      </w:pPr>
      <w:r>
        <w:t xml:space="preserve"/>
      </w:r>
    </w:p>
    <w:p>
      <w:pPr>
        <w:pStyle w:val="Heading2"/>
        <w:spacing w:before="300" w:after="120"/>
      </w:pPr>
      <w:r>
        <w:rPr>
          <w:rFonts w:ascii="Arial" w:cs="Arial" w:eastAsia="Arial" w:hAnsi="Arial"/>
          <w:b/>
          <w:bCs/>
          <w:color w:val="1E1E2E"/>
          <w:sz w:val="28"/>
          <w:szCs w:val="28"/>
        </w:rPr>
        <w:t xml:space="preserve">Feature Overview</w:t>
      </w:r>
    </w:p>
    <w:p>
      <w:pPr>
        <w:spacing w:before="80" w:after="80"/>
      </w:pPr>
      <w:r>
        <w:rPr>
          <w:rFonts w:ascii="Arial" w:cs="Arial" w:eastAsia="Arial" w:hAnsi="Arial"/>
          <w:color w:val="1E1E2E"/>
          <w:sz w:val="22"/>
          <w:szCs w:val="22"/>
        </w:rPr>
        <w:t xml:space="preserve">Trainer quality is the single most controllable variable in student learning outcomes — yet it is the most poorly measured dimension in most institutes. Trainer Impact Analytics provides an objective, outcome-linked framework for measuring each trainer's actual contribution to student skill development, engagement, and placement readiness — going far beyond traditional satisfaction surveys.</w:t>
      </w:r>
    </w:p>
    <w:p>
      <w:pPr>
        <w:spacing w:before="80" w:after="80"/>
      </w:pPr>
      <w:r>
        <w:t xml:space="preserve"/>
      </w:r>
    </w:p>
    <w:p>
      <w:pPr>
        <w:spacing w:before="200" w:after="80"/>
      </w:pPr>
      <w:r>
        <w:rPr>
          <w:rFonts w:ascii="Arial" w:cs="Arial" w:eastAsia="Arial" w:hAnsi="Arial"/>
          <w:b/>
          <w:bCs/>
          <w:color w:val="2563EB"/>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E1E2E"/>
          <w:sz w:val="22"/>
          <w:szCs w:val="22"/>
        </w:rPr>
        <w:t xml:space="preserve">Pre-post learning gain attribution: Compares student assessment scores before and after each trainer's sessions — calculating the measurable learning gain attributable to that trainer's instruction</w:t>
      </w:r>
    </w:p>
    <w:p>
      <w:pPr>
        <w:pStyle w:val="ListParagraph"/>
        <w:numPr>
          <w:ilvl w:val="0"/>
          <w:numId w:val="2"/>
        </w:numPr>
        <w:spacing w:before="60" w:after="60"/>
      </w:pPr>
      <w:r>
        <w:rPr>
          <w:rFonts w:ascii="Arial" w:cs="Arial" w:eastAsia="Arial" w:hAnsi="Arial"/>
          <w:b w:val="false"/>
          <w:bCs w:val="false"/>
          <w:color w:val="1E1E2E"/>
          <w:sz w:val="22"/>
          <w:szCs w:val="22"/>
        </w:rPr>
        <w:t xml:space="preserve">Session effectiveness score: Composite metric derived from session attendance rate, student engagement during session, post-session assessment scores, and student-reported clarity rating</w:t>
      </w:r>
    </w:p>
    <w:p>
      <w:pPr>
        <w:pStyle w:val="ListParagraph"/>
        <w:numPr>
          <w:ilvl w:val="0"/>
          <w:numId w:val="2"/>
        </w:numPr>
        <w:spacing w:before="60" w:after="60"/>
      </w:pPr>
      <w:r>
        <w:rPr>
          <w:rFonts w:ascii="Arial" w:cs="Arial" w:eastAsia="Arial" w:hAnsi="Arial"/>
          <w:b w:val="false"/>
          <w:bCs w:val="false"/>
          <w:color w:val="1E1E2E"/>
          <w:sz w:val="22"/>
          <w:szCs w:val="22"/>
        </w:rPr>
        <w:t xml:space="preserve">Content delivery analysis: Which trainers produce the highest content completion rates? Which sessions have the highest drop-off? Platform identifies specific session segments with lowest engagement</w:t>
      </w:r>
    </w:p>
    <w:p>
      <w:pPr>
        <w:pStyle w:val="ListParagraph"/>
        <w:numPr>
          <w:ilvl w:val="0"/>
          <w:numId w:val="2"/>
        </w:numPr>
        <w:spacing w:before="60" w:after="60"/>
      </w:pPr>
      <w:r>
        <w:rPr>
          <w:rFonts w:ascii="Arial" w:cs="Arial" w:eastAsia="Arial" w:hAnsi="Arial"/>
          <w:b w:val="false"/>
          <w:bCs w:val="false"/>
          <w:color w:val="1E1E2E"/>
          <w:sz w:val="22"/>
          <w:szCs w:val="22"/>
        </w:rPr>
        <w:t xml:space="preserve">Trainer consistency index: Does the trainer's impact vary significantly across batches, subjects, or time periods? Consistency tracking identifies trainers who are highly effective for specific student profiles</w:t>
      </w:r>
    </w:p>
    <w:p>
      <w:pPr>
        <w:pStyle w:val="ListParagraph"/>
        <w:numPr>
          <w:ilvl w:val="0"/>
          <w:numId w:val="2"/>
        </w:numPr>
        <w:spacing w:before="60" w:after="60"/>
      </w:pPr>
      <w:r>
        <w:rPr>
          <w:rFonts w:ascii="Arial" w:cs="Arial" w:eastAsia="Arial" w:hAnsi="Arial"/>
          <w:b w:val="false"/>
          <w:bCs w:val="false"/>
          <w:color w:val="1E1E2E"/>
          <w:sz w:val="22"/>
          <w:szCs w:val="22"/>
        </w:rPr>
        <w:t xml:space="preserve">Skill development contribution: For each skill in the taxonomy, which trainers' students show the highest growth rates? Maps trainer expertise to demonstrable student outcomes</w:t>
      </w:r>
    </w:p>
    <w:p>
      <w:pPr>
        <w:pStyle w:val="ListParagraph"/>
        <w:numPr>
          <w:ilvl w:val="0"/>
          <w:numId w:val="2"/>
        </w:numPr>
        <w:spacing w:before="60" w:after="60"/>
      </w:pPr>
      <w:r>
        <w:rPr>
          <w:rFonts w:ascii="Arial" w:cs="Arial" w:eastAsia="Arial" w:hAnsi="Arial"/>
          <w:b w:val="false"/>
          <w:bCs w:val="false"/>
          <w:color w:val="1E1E2E"/>
          <w:sz w:val="22"/>
          <w:szCs w:val="22"/>
        </w:rPr>
        <w:t xml:space="preserve">Student feedback integration: Structured, anonymized post-session feedback (not just star ratings — multi-dimensional rubric covering clarity, pacing, relevance, interactivity, and preparation quality)</w:t>
      </w:r>
    </w:p>
    <w:p>
      <w:pPr>
        <w:pStyle w:val="ListParagraph"/>
        <w:numPr>
          <w:ilvl w:val="0"/>
          <w:numId w:val="2"/>
        </w:numPr>
        <w:spacing w:before="60" w:after="60"/>
      </w:pPr>
      <w:r>
        <w:rPr>
          <w:rFonts w:ascii="Arial" w:cs="Arial" w:eastAsia="Arial" w:hAnsi="Arial"/>
          <w:b w:val="false"/>
          <w:bCs w:val="false"/>
          <w:color w:val="1E1E2E"/>
          <w:sz w:val="22"/>
          <w:szCs w:val="22"/>
        </w:rPr>
        <w:t xml:space="preserve">Trainer benchmark comparison: Anonymous comparison of each trainer's impact metrics against department and platform averages — enabling peer learning and targeted development</w:t>
      </w:r>
    </w:p>
    <w:p>
      <w:pPr>
        <w:pStyle w:val="ListParagraph"/>
        <w:numPr>
          <w:ilvl w:val="0"/>
          <w:numId w:val="2"/>
        </w:numPr>
        <w:spacing w:before="60" w:after="60"/>
      </w:pPr>
      <w:r>
        <w:rPr>
          <w:rFonts w:ascii="Arial" w:cs="Arial" w:eastAsia="Arial" w:hAnsi="Arial"/>
          <w:b w:val="false"/>
          <w:bCs w:val="false"/>
          <w:color w:val="1E1E2E"/>
          <w:sz w:val="22"/>
          <w:szCs w:val="22"/>
        </w:rPr>
        <w:t xml:space="preserve">Placement conversion correlation: Which trainers' students convert the highest percentage of placement rounds? Traces back from placement success to training inputs</w:t>
      </w:r>
    </w:p>
    <w:p>
      <w:pPr>
        <w:pStyle w:val="ListParagraph"/>
        <w:numPr>
          <w:ilvl w:val="0"/>
          <w:numId w:val="2"/>
        </w:numPr>
        <w:spacing w:before="60" w:after="60"/>
      </w:pPr>
      <w:r>
        <w:rPr>
          <w:rFonts w:ascii="Arial" w:cs="Arial" w:eastAsia="Arial" w:hAnsi="Arial"/>
          <w:b w:val="false"/>
          <w:bCs w:val="false"/>
          <w:color w:val="1E1E2E"/>
          <w:sz w:val="22"/>
          <w:szCs w:val="22"/>
        </w:rPr>
        <w:t xml:space="preserve">Trainer development recommendations: AI-generated personalized improvement suggestions for each trainer based on their impact data patterns</w:t>
      </w:r>
    </w:p>
    <w:p>
      <w:pPr>
        <w:spacing w:before="80" w:after="80"/>
      </w:pPr>
      <w:r>
        <w:t xml:space="preserve"/>
      </w:r>
    </w:p>
    <w:p>
      <w:pPr>
        <w:spacing w:before="200" w:after="80"/>
      </w:pPr>
      <w:r>
        <w:rPr>
          <w:rFonts w:ascii="Arial" w:cs="Arial" w:eastAsia="Arial" w:hAnsi="Arial"/>
          <w:b/>
          <w:bCs/>
          <w:color w:val="2563EB"/>
          <w:sz w:val="24"/>
          <w:szCs w:val="24"/>
        </w:rPr>
        <w:t xml:space="preserve">Research Insight</w:t>
      </w:r>
    </w:p>
    <w:p>
      <w:pPr>
        <w:spacing w:before="80" w:after="80"/>
      </w:pPr>
      <w:r>
        <w:rPr>
          <w:rFonts w:ascii="Arial" w:cs="Arial" w:eastAsia="Arial" w:hAnsi="Arial"/>
          <w:color w:val="1E1E2E"/>
          <w:sz w:val="22"/>
          <w:szCs w:val="22"/>
        </w:rPr>
        <w:t xml:space="preserve">Hattie's landmark meta-analysis of 800+ educational studies (Visible Learning, 2009) identifies teacher/trainer effectiveness as the single greatest in-school influence on student achievement — with an effect size exceeding 0.40, far above curriculum design, class size, or homework policies. Despite this evidence, trainer performance measurement in Indian higher education remains almost entirely subjective. Outcome-linked trainer analytics enable institutions to identify their highest-impact trainers for program expansion, support underperforming trainers with targeted development, and make evidence-based decisions on trainer contracts and assignments.</w:t>
      </w:r>
    </w:p>
    <w:p>
      <w:pPr>
        <w:spacing w:before="80" w:after="80"/>
      </w:pPr>
      <w:r>
        <w:t xml:space="preserve"/>
      </w:r>
    </w:p>
    <w:p>
      <w:pPr>
        <w:pBdr>
          <w:bottom w:val="single" w:color="B0C8EF" w:sz="6" w:space="1"/>
        </w:pBdr>
        <w:spacing w:before="140" w:after="14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30"/>
              <w:left w:type="dxa" w:w="220"/>
              <w:bottom w:type="dxa" w:w="130"/>
              <w:right w:type="dxa" w:w="220"/>
            </w:tcMar>
          </w:tcPr>
          <w:p>
            <w:r>
              <w:rPr>
                <w:rFonts w:ascii="Arial" w:cs="Arial" w:eastAsia="Arial" w:hAnsi="Arial"/>
                <w:color w:val="E8F0FB"/>
                <w:sz w:val="22"/>
                <w:szCs w:val="22"/>
              </w:rPr>
              <w:t xml:space="preserve">Sub-Feature 10.7  |  </w:t>
            </w:r>
            <w:r>
              <w:rPr>
                <w:rFonts w:ascii="Arial" w:cs="Arial" w:eastAsia="Arial" w:hAnsi="Arial"/>
                <w:b/>
                <w:bCs/>
                <w:color w:val="FFFFFF"/>
                <w:sz w:val="28"/>
                <w:szCs w:val="28"/>
              </w:rPr>
              <w:t xml:space="preserve">Learning Behavior Insights</w:t>
            </w:r>
          </w:p>
        </w:tc>
      </w:tr>
    </w:tbl>
    <w:p>
      <w:pPr>
        <w:spacing w:before="80" w:after="80"/>
      </w:pPr>
      <w:r>
        <w:t xml:space="preserve"/>
      </w:r>
    </w:p>
    <w:p>
      <w:pPr>
        <w:pStyle w:val="Heading2"/>
        <w:spacing w:before="300" w:after="120"/>
      </w:pPr>
      <w:r>
        <w:rPr>
          <w:rFonts w:ascii="Arial" w:cs="Arial" w:eastAsia="Arial" w:hAnsi="Arial"/>
          <w:b/>
          <w:bCs/>
          <w:color w:val="1E1E2E"/>
          <w:sz w:val="28"/>
          <w:szCs w:val="28"/>
        </w:rPr>
        <w:t xml:space="preserve">Feature Overview</w:t>
      </w:r>
    </w:p>
    <w:p>
      <w:pPr>
        <w:spacing w:before="80" w:after="80"/>
      </w:pPr>
      <w:r>
        <w:rPr>
          <w:rFonts w:ascii="Arial" w:cs="Arial" w:eastAsia="Arial" w:hAnsi="Arial"/>
          <w:color w:val="1E1E2E"/>
          <w:sz w:val="22"/>
          <w:szCs w:val="22"/>
        </w:rPr>
        <w:t xml:space="preserve">Beyond performance scores and engagement metrics, how a student learns — their patterns, rhythms, habits, and behavioral tendencies — reveals deep predictive information about their future outcomes. Learning Behavior Insights uses advanced behavioral analytics and AI pattern recognition to surface hidden learning behaviors that are invisible in traditional assessments but powerfully predictive of performance trajectories.</w:t>
      </w:r>
    </w:p>
    <w:p>
      <w:pPr>
        <w:spacing w:before="80" w:after="80"/>
      </w:pPr>
      <w:r>
        <w:t xml:space="preserve"/>
      </w:r>
    </w:p>
    <w:p>
      <w:pPr>
        <w:spacing w:before="200" w:after="80"/>
      </w:pPr>
      <w:r>
        <w:rPr>
          <w:rFonts w:ascii="Arial" w:cs="Arial" w:eastAsia="Arial" w:hAnsi="Arial"/>
          <w:b/>
          <w:bCs/>
          <w:color w:val="2563EB"/>
          <w:sz w:val="24"/>
          <w:szCs w:val="24"/>
        </w:rPr>
        <w:t xml:space="preserve">Core Capabilities</w:t>
      </w:r>
    </w:p>
    <w:p>
      <w:pPr>
        <w:pStyle w:val="ListParagraph"/>
        <w:numPr>
          <w:ilvl w:val="0"/>
          <w:numId w:val="2"/>
        </w:numPr>
        <w:spacing w:before="60" w:after="60"/>
      </w:pPr>
      <w:r>
        <w:rPr>
          <w:rFonts w:ascii="Arial" w:cs="Arial" w:eastAsia="Arial" w:hAnsi="Arial"/>
          <w:b w:val="false"/>
          <w:bCs w:val="false"/>
          <w:color w:val="1E1E2E"/>
          <w:sz w:val="22"/>
          <w:szCs w:val="22"/>
        </w:rPr>
        <w:t xml:space="preserve">Study rhythm analysis: Identifies each student's natural learning schedule (morning learner vs. night learner; daily consistent vs. weekend binge) — with pattern stability scoring</w:t>
      </w:r>
    </w:p>
    <w:p>
      <w:pPr>
        <w:pStyle w:val="ListParagraph"/>
        <w:numPr>
          <w:ilvl w:val="0"/>
          <w:numId w:val="2"/>
        </w:numPr>
        <w:spacing w:before="60" w:after="60"/>
      </w:pPr>
      <w:r>
        <w:rPr>
          <w:rFonts w:ascii="Arial" w:cs="Arial" w:eastAsia="Arial" w:hAnsi="Arial"/>
          <w:b w:val="false"/>
          <w:bCs w:val="false"/>
          <w:color w:val="1E1E2E"/>
          <w:sz w:val="22"/>
          <w:szCs w:val="22"/>
        </w:rPr>
        <w:t xml:space="preserve">Procrastination detection: Tracks submission timing patterns relative to deadlines — flags chronic last-minute submitters with predictive risk scores for placement round preparation delays</w:t>
      </w:r>
    </w:p>
    <w:p>
      <w:pPr>
        <w:pStyle w:val="ListParagraph"/>
        <w:numPr>
          <w:ilvl w:val="0"/>
          <w:numId w:val="2"/>
        </w:numPr>
        <w:spacing w:before="60" w:after="60"/>
      </w:pPr>
      <w:r>
        <w:rPr>
          <w:rFonts w:ascii="Arial" w:cs="Arial" w:eastAsia="Arial" w:hAnsi="Arial"/>
          <w:b w:val="false"/>
          <w:bCs w:val="false"/>
          <w:color w:val="1E1E2E"/>
          <w:sz w:val="22"/>
          <w:szCs w:val="22"/>
        </w:rPr>
        <w:t xml:space="preserve">Persistence behavior tracking: How does the student respond to failure? Does a failed quiz prompt immediate retry (high persistence) or avoidance (low persistence)? Persistence score is a strong placement interview predictor</w:t>
      </w:r>
    </w:p>
    <w:p>
      <w:pPr>
        <w:pStyle w:val="ListParagraph"/>
        <w:numPr>
          <w:ilvl w:val="0"/>
          <w:numId w:val="2"/>
        </w:numPr>
        <w:spacing w:before="60" w:after="60"/>
      </w:pPr>
      <w:r>
        <w:rPr>
          <w:rFonts w:ascii="Arial" w:cs="Arial" w:eastAsia="Arial" w:hAnsi="Arial"/>
          <w:b w:val="false"/>
          <w:bCs w:val="false"/>
          <w:color w:val="1E1E2E"/>
          <w:sz w:val="22"/>
          <w:szCs w:val="22"/>
        </w:rPr>
        <w:t xml:space="preserve">Self-correction pattern: Do students review incorrect answers and retake assessments? Or do they accept wrong answers and move on? This behavioral signal predicts learning depth vs. surface learning</w:t>
      </w:r>
    </w:p>
    <w:p>
      <w:pPr>
        <w:pStyle w:val="ListParagraph"/>
        <w:numPr>
          <w:ilvl w:val="0"/>
          <w:numId w:val="2"/>
        </w:numPr>
        <w:spacing w:before="60" w:after="60"/>
      </w:pPr>
      <w:r>
        <w:rPr>
          <w:rFonts w:ascii="Arial" w:cs="Arial" w:eastAsia="Arial" w:hAnsi="Arial"/>
          <w:b w:val="false"/>
          <w:bCs w:val="false"/>
          <w:color w:val="1E1E2E"/>
          <w:sz w:val="22"/>
          <w:szCs w:val="22"/>
        </w:rPr>
        <w:t xml:space="preserve">Help-seeking behavior: Frequency and type of help-seeking — peer discussions, faculty queries, resource access — mapped against performance outcomes to identify effective vs. avoidant help-seeking styles</w:t>
      </w:r>
    </w:p>
    <w:p>
      <w:pPr>
        <w:pStyle w:val="ListParagraph"/>
        <w:numPr>
          <w:ilvl w:val="0"/>
          <w:numId w:val="2"/>
        </w:numPr>
        <w:spacing w:before="60" w:after="60"/>
      </w:pPr>
      <w:r>
        <w:rPr>
          <w:rFonts w:ascii="Arial" w:cs="Arial" w:eastAsia="Arial" w:hAnsi="Arial"/>
          <w:b w:val="false"/>
          <w:bCs w:val="false"/>
          <w:color w:val="1E1E2E"/>
          <w:sz w:val="22"/>
          <w:szCs w:val="22"/>
        </w:rPr>
        <w:t xml:space="preserve">Multitasking vs. focused learning detection: Platform session analysis (rapid switching between modules vs. linear deep engagement) — identifies students at risk of superficial knowledge acquisition</w:t>
      </w:r>
    </w:p>
    <w:p>
      <w:pPr>
        <w:pStyle w:val="ListParagraph"/>
        <w:numPr>
          <w:ilvl w:val="0"/>
          <w:numId w:val="2"/>
        </w:numPr>
        <w:spacing w:before="60" w:after="60"/>
      </w:pPr>
      <w:r>
        <w:rPr>
          <w:rFonts w:ascii="Arial" w:cs="Arial" w:eastAsia="Arial" w:hAnsi="Arial"/>
          <w:b w:val="false"/>
          <w:bCs w:val="false"/>
          <w:color w:val="1E1E2E"/>
          <w:sz w:val="22"/>
          <w:szCs w:val="22"/>
        </w:rPr>
        <w:t xml:space="preserve">Behavioral change alerts: System detects sudden, significant changes in a student's behavior patterns (e.g., a consistently engaged student who suddenly disengages) — triggers wellbeing check-in recommendations for faculty or counselors</w:t>
      </w:r>
    </w:p>
    <w:p>
      <w:pPr>
        <w:pStyle w:val="ListParagraph"/>
        <w:numPr>
          <w:ilvl w:val="0"/>
          <w:numId w:val="2"/>
        </w:numPr>
        <w:spacing w:before="60" w:after="60"/>
      </w:pPr>
      <w:r>
        <w:rPr>
          <w:rFonts w:ascii="Arial" w:cs="Arial" w:eastAsia="Arial" w:hAnsi="Arial"/>
          <w:b w:val="false"/>
          <w:bCs w:val="false"/>
          <w:color w:val="1E1E2E"/>
          <w:sz w:val="22"/>
          <w:szCs w:val="22"/>
        </w:rPr>
        <w:t xml:space="preserve">Learning style inference: Based on content interaction patterns (video vs. text vs. practice-first vs. theory-first preferences), infers each student's dominant learning style and surfaces it to trainers for personalization</w:t>
      </w:r>
    </w:p>
    <w:p>
      <w:pPr>
        <w:pStyle w:val="ListParagraph"/>
        <w:numPr>
          <w:ilvl w:val="0"/>
          <w:numId w:val="2"/>
        </w:numPr>
        <w:spacing w:before="60" w:after="60"/>
      </w:pPr>
      <w:r>
        <w:rPr>
          <w:rFonts w:ascii="Arial" w:cs="Arial" w:eastAsia="Arial" w:hAnsi="Arial"/>
          <w:b w:val="false"/>
          <w:bCs w:val="false"/>
          <w:color w:val="1E1E2E"/>
          <w:sz w:val="22"/>
          <w:szCs w:val="22"/>
        </w:rPr>
        <w:t xml:space="preserve">Placement behavior simulation: In mock interview and assessment environments, tracks behavioral signals: time pressure response, answer revision patterns, confidence indicators — predictive of actual interview performance</w:t>
      </w:r>
    </w:p>
    <w:p>
      <w:pPr>
        <w:pStyle w:val="ListParagraph"/>
        <w:numPr>
          <w:ilvl w:val="0"/>
          <w:numId w:val="2"/>
        </w:numPr>
        <w:spacing w:before="60" w:after="60"/>
      </w:pPr>
      <w:r>
        <w:rPr>
          <w:rFonts w:ascii="Arial" w:cs="Arial" w:eastAsia="Arial" w:hAnsi="Arial"/>
          <w:b w:val="false"/>
          <w:bCs w:val="false"/>
          <w:color w:val="1E1E2E"/>
          <w:sz w:val="22"/>
          <w:szCs w:val="22"/>
        </w:rPr>
        <w:t xml:space="preserve">Behavior-to-outcome correlation dashboard: For management and researchers — aggregate view of which behavioral patterns most strongly correlate with placement success, academic excellence, or early attrition risk</w:t>
      </w:r>
    </w:p>
    <w:p>
      <w:pPr>
        <w:spacing w:before="80" w:after="80"/>
      </w:pPr>
      <w:r>
        <w:t xml:space="preserve"/>
      </w:r>
    </w:p>
    <w:p>
      <w:pPr>
        <w:spacing w:before="200" w:after="80"/>
      </w:pPr>
      <w:r>
        <w:rPr>
          <w:rFonts w:ascii="Arial" w:cs="Arial" w:eastAsia="Arial" w:hAnsi="Arial"/>
          <w:b/>
          <w:bCs/>
          <w:color w:val="2563EB"/>
          <w:sz w:val="24"/>
          <w:szCs w:val="24"/>
        </w:rPr>
        <w:t xml:space="preserve">Stakeholder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r>
              <w:rPr>
                <w:rFonts w:ascii="Arial" w:cs="Arial" w:eastAsia="Arial" w:hAnsi="Arial"/>
                <w:b/>
                <w:bCs/>
                <w:color w:val="1A3C6E"/>
                <w:sz w:val="20"/>
                <w:szCs w:val="20"/>
              </w:rPr>
              <w:t xml:space="preserve">Student</w:t>
            </w:r>
          </w:p>
        </w:tc>
        <w:tc>
          <w:tcPr>
            <w:tcW w:type="dxa" w:w="67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color w:val="1E1E2E"/>
                <w:sz w:val="20"/>
                <w:szCs w:val="20"/>
              </w:rPr>
              <w:t xml:space="preserve">Self-awareness about learning habits; personalized study schedule recommendations; behavior-linked improvement tips</w:t>
            </w:r>
          </w:p>
        </w:tc>
      </w:tr>
      <w:tr>
        <w:tc>
          <w:tcPr>
            <w:tcW w:type="dxa" w:w="260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r>
              <w:rPr>
                <w:rFonts w:ascii="Arial" w:cs="Arial" w:eastAsia="Arial" w:hAnsi="Arial"/>
                <w:b/>
                <w:bCs/>
                <w:color w:val="1A3C6E"/>
                <w:sz w:val="20"/>
                <w:szCs w:val="20"/>
              </w:rPr>
              <w:t xml:space="preserve">Faculty</w:t>
            </w:r>
          </w:p>
        </w:tc>
        <w:tc>
          <w:tcPr>
            <w:tcW w:type="dxa" w:w="676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r>
              <w:rPr>
                <w:rFonts w:ascii="Arial" w:cs="Arial" w:eastAsia="Arial" w:hAnsi="Arial"/>
                <w:color w:val="1E1E2E"/>
                <w:sz w:val="20"/>
                <w:szCs w:val="20"/>
              </w:rPr>
              <w:t xml:space="preserve">Early warning of at-risk behavioral patterns before they translate into failing grades or dropped placements</w:t>
            </w:r>
          </w:p>
        </w:tc>
      </w:tr>
      <w:tr>
        <w:tc>
          <w:tcPr>
            <w:tcW w:type="dxa" w:w="26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r>
              <w:rPr>
                <w:rFonts w:ascii="Arial" w:cs="Arial" w:eastAsia="Arial" w:hAnsi="Arial"/>
                <w:b/>
                <w:bCs/>
                <w:color w:val="1A3C6E"/>
                <w:sz w:val="20"/>
                <w:szCs w:val="20"/>
              </w:rPr>
              <w:t xml:space="preserve">Counselor</w:t>
            </w:r>
          </w:p>
        </w:tc>
        <w:tc>
          <w:tcPr>
            <w:tcW w:type="dxa" w:w="67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color w:val="1E1E2E"/>
                <w:sz w:val="20"/>
                <w:szCs w:val="20"/>
              </w:rPr>
              <w:t xml:space="preserve">Behavioral data flags students who may be experiencing stress, motivation loss, or external life disruptions</w:t>
            </w:r>
          </w:p>
        </w:tc>
      </w:tr>
      <w:tr>
        <w:tc>
          <w:tcPr>
            <w:tcW w:type="dxa" w:w="260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r>
              <w:rPr>
                <w:rFonts w:ascii="Arial" w:cs="Arial" w:eastAsia="Arial" w:hAnsi="Arial"/>
                <w:b/>
                <w:bCs/>
                <w:color w:val="1A3C6E"/>
                <w:sz w:val="20"/>
                <w:szCs w:val="20"/>
              </w:rPr>
              <w:t xml:space="preserve">HOD</w:t>
            </w:r>
          </w:p>
        </w:tc>
        <w:tc>
          <w:tcPr>
            <w:tcW w:type="dxa" w:w="676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r>
              <w:rPr>
                <w:rFonts w:ascii="Arial" w:cs="Arial" w:eastAsia="Arial" w:hAnsi="Arial"/>
                <w:color w:val="1E1E2E"/>
                <w:sz w:val="20"/>
                <w:szCs w:val="20"/>
              </w:rPr>
              <w:t xml:space="preserve">Department-wide behavioral trend data for curriculum pacing decisions and support program design</w:t>
            </w:r>
          </w:p>
        </w:tc>
      </w:tr>
      <w:tr>
        <w:tc>
          <w:tcPr>
            <w:tcW w:type="dxa" w:w="26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r>
              <w:rPr>
                <w:rFonts w:ascii="Arial" w:cs="Arial" w:eastAsia="Arial" w:hAnsi="Arial"/>
                <w:b/>
                <w:bCs/>
                <w:color w:val="1A3C6E"/>
                <w:sz w:val="20"/>
                <w:szCs w:val="20"/>
              </w:rPr>
              <w:t xml:space="preserve">Management</w:t>
            </w:r>
          </w:p>
        </w:tc>
        <w:tc>
          <w:tcPr>
            <w:tcW w:type="dxa" w:w="67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color w:val="1E1E2E"/>
                <w:sz w:val="20"/>
                <w:szCs w:val="20"/>
              </w:rPr>
              <w:t xml:space="preserve">Behavioral analytics for accreditation reporting; evidence-base for student support program ROI</w:t>
            </w:r>
          </w:p>
        </w:tc>
      </w:tr>
      <w:tr>
        <w:tc>
          <w:tcPr>
            <w:tcW w:type="dxa" w:w="260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r>
              <w:rPr>
                <w:rFonts w:ascii="Arial" w:cs="Arial" w:eastAsia="Arial" w:hAnsi="Arial"/>
                <w:b/>
                <w:bCs/>
                <w:color w:val="1A3C6E"/>
                <w:sz w:val="20"/>
                <w:szCs w:val="20"/>
              </w:rPr>
              <w:t xml:space="preserve">Researchers</w:t>
            </w:r>
          </w:p>
        </w:tc>
        <w:tc>
          <w:tcPr>
            <w:tcW w:type="dxa" w:w="676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r>
              <w:rPr>
                <w:rFonts w:ascii="Arial" w:cs="Arial" w:eastAsia="Arial" w:hAnsi="Arial"/>
                <w:color w:val="1E1E2E"/>
                <w:sz w:val="20"/>
                <w:szCs w:val="20"/>
              </w:rPr>
              <w:t xml:space="preserve">Anonymized dataset for studying learning behavior patterns in Indian technical education contexts</w:t>
            </w:r>
          </w:p>
        </w:tc>
      </w:tr>
    </w:tbl>
    <w:p>
      <w:pPr>
        <w:spacing w:before="80" w:after="80"/>
      </w:pPr>
      <w:r>
        <w:t xml:space="preserve"/>
      </w:r>
    </w:p>
    <w:p>
      <w:pPr>
        <w:spacing w:before="200" w:after="80"/>
      </w:pPr>
      <w:r>
        <w:rPr>
          <w:rFonts w:ascii="Arial" w:cs="Arial" w:eastAsia="Arial" w:hAnsi="Arial"/>
          <w:b/>
          <w:bCs/>
          <w:color w:val="2563EB"/>
          <w:sz w:val="24"/>
          <w:szCs w:val="24"/>
        </w:rPr>
        <w:t xml:space="preserve">Research Insight</w:t>
      </w:r>
    </w:p>
    <w:p>
      <w:pPr>
        <w:spacing w:before="80" w:after="80"/>
      </w:pPr>
      <w:r>
        <w:rPr>
          <w:rFonts w:ascii="Arial" w:cs="Arial" w:eastAsia="Arial" w:hAnsi="Arial"/>
          <w:color w:val="1E1E2E"/>
          <w:sz w:val="22"/>
          <w:szCs w:val="22"/>
        </w:rPr>
        <w:t xml:space="preserve">Educational Data Mining (EDM) and Learning Analytics research led by Baker, Siemens, and Gasevic over the past decade has established learning behavior as a distinct and powerful predictor of academic outcomes — independent of prior academic performance. Research from Stanford's HCI Group and MIT's Office of Digital Learning confirms that behavioral signals captured through digital learning platforms can predict end-of-semester performance with 80%+ accuracy as early as the 3rd week of instruction. For campus placement contexts specifically, research indicates that behavioral traits such as persistence, self-correction, and help-seeking are among the strongest predictors of interview performance — making Learning Behavior Insights a uniquely powerful placement readiness tool.</w:t>
      </w:r>
    </w:p>
    <w:p>
      <w:pPr>
        <w:spacing w:before="80" w:after="80"/>
      </w:pPr>
      <w:r>
        <w:t xml:space="preserve"/>
      </w:r>
    </w:p>
    <w:p>
      <w:pPr>
        <w:pBdr>
          <w:bottom w:val="single" w:color="B0C8EF" w:sz="6" w:space="1"/>
        </w:pBdr>
        <w:spacing w:before="140" w:after="140"/>
      </w:pPr>
      <w:r>
        <w:t xml:space="preserve"/>
      </w:r>
    </w:p>
    <w:p>
      <w:r>
        <w:br w:type="page"/>
      </w:r>
    </w:p>
    <w:p>
      <w:pPr>
        <w:pStyle w:val="Heading1"/>
        <w:spacing w:before="400" w:after="180"/>
      </w:pPr>
      <w:r>
        <w:rPr>
          <w:rFonts w:ascii="Arial" w:cs="Arial" w:eastAsia="Arial" w:hAnsi="Arial"/>
          <w:b/>
          <w:bCs/>
          <w:color w:val="1A3C6E"/>
          <w:sz w:val="38"/>
          <w:szCs w:val="38"/>
        </w:rPr>
        <w:t xml:space="preserve">Platform Integration &amp; Ecosystem Connections</w:t>
      </w:r>
    </w:p>
    <w:p>
      <w:pPr>
        <w:spacing w:before="80" w:after="80"/>
      </w:pPr>
      <w:r>
        <w:rPr>
          <w:rFonts w:ascii="Arial" w:cs="Arial" w:eastAsia="Arial" w:hAnsi="Arial"/>
          <w:color w:val="1E1E2E"/>
          <w:sz w:val="22"/>
          <w:szCs w:val="22"/>
        </w:rPr>
        <w:t xml:space="preserve">Feature 10 — Student Performance Analytics — is a data integration hub. It receives inputs from every other platform module and sends analytics outputs back to stakeholders across the ecosystem: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3E8" w:sz="1"/>
              <w:left w:val="single" w:color="C5D3E8" w:sz="1"/>
              <w:bottom w:val="single" w:color="C5D3E8" w:sz="1"/>
              <w:right w:val="single" w:color="C5D3E8" w:sz="1"/>
            </w:tcBorders>
            <w:shd w:fill="1A3C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Connected Module / Data Source</w:t>
            </w:r>
          </w:p>
        </w:tc>
        <w:tc>
          <w:tcPr>
            <w:tcW w:type="dxa" w:w="6560"/>
            <w:tcBorders>
              <w:top w:val="single" w:color="C5D3E8" w:sz="1"/>
              <w:left w:val="single" w:color="C5D3E8" w:sz="1"/>
              <w:bottom w:val="single" w:color="C5D3E8" w:sz="1"/>
              <w:right w:val="single" w:color="C5D3E8" w:sz="1"/>
            </w:tcBorders>
            <w:shd w:fill="1A3C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Integration Description</w:t>
            </w:r>
          </w:p>
        </w:tc>
      </w:tr>
      <w:tr>
        <w:tc>
          <w:tcPr>
            <w:tcW w:type="dxa" w:w="28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pPr>
              <w:jc w:val="left"/>
            </w:pPr>
            <w:r>
              <w:rPr>
                <w:rFonts w:ascii="Arial" w:cs="Arial" w:eastAsia="Arial" w:hAnsi="Arial"/>
                <w:color w:val="1E1E2E"/>
                <w:sz w:val="20"/>
                <w:szCs w:val="20"/>
              </w:rPr>
              <w:t xml:space="preserve">Assessment Engine</w:t>
            </w:r>
          </w:p>
        </w:tc>
        <w:tc>
          <w:tcPr>
            <w:tcW w:type="dxa" w:w="656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pPr>
              <w:jc w:val="left"/>
            </w:pPr>
            <w:r>
              <w:rPr>
                <w:rFonts w:ascii="Arial" w:cs="Arial" w:eastAsia="Arial" w:hAnsi="Arial"/>
                <w:color w:val="1E1E2E"/>
                <w:sz w:val="20"/>
                <w:szCs w:val="20"/>
              </w:rPr>
              <w:t xml:space="preserve">All quiz, test, and simulation scores feed directly into performance and skill growth dashboards</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Industrial Visit Module</w:t>
            </w:r>
          </w:p>
        </w:tc>
        <w:tc>
          <w:tcPr>
            <w:tcW w:type="dxa" w:w="65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Visit task scores, observation quality ratings, and reflection depth contribute to engagement and skill metrics</w:t>
            </w:r>
          </w:p>
        </w:tc>
      </w:tr>
      <w:tr>
        <w:tc>
          <w:tcPr>
            <w:tcW w:type="dxa" w:w="28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pPr>
              <w:jc w:val="left"/>
            </w:pPr>
            <w:r>
              <w:rPr>
                <w:rFonts w:ascii="Arial" w:cs="Arial" w:eastAsia="Arial" w:hAnsi="Arial"/>
                <w:color w:val="1E1E2E"/>
                <w:sz w:val="20"/>
                <w:szCs w:val="20"/>
              </w:rPr>
              <w:t xml:space="preserve">Session Management</w:t>
            </w:r>
          </w:p>
        </w:tc>
        <w:tc>
          <w:tcPr>
            <w:tcW w:type="dxa" w:w="656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pPr>
              <w:jc w:val="left"/>
            </w:pPr>
            <w:r>
              <w:rPr>
                <w:rFonts w:ascii="Arial" w:cs="Arial" w:eastAsia="Arial" w:hAnsi="Arial"/>
                <w:color w:val="1E1E2E"/>
                <w:sz w:val="20"/>
                <w:szCs w:val="20"/>
              </w:rPr>
              <w:t xml:space="preserve">Live and recorded session attendance and engagement data populate Engagement Analytics and Trainer Impact modules</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Placement Simulation</w:t>
            </w:r>
          </w:p>
        </w:tc>
        <w:tc>
          <w:tcPr>
            <w:tcW w:type="dxa" w:w="65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Mock interview, aptitude test, and GD performance data feed placement readiness and behavioral analytics</w:t>
            </w:r>
          </w:p>
        </w:tc>
      </w:tr>
      <w:tr>
        <w:tc>
          <w:tcPr>
            <w:tcW w:type="dxa" w:w="28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pPr>
              <w:jc w:val="left"/>
            </w:pPr>
            <w:r>
              <w:rPr>
                <w:rFonts w:ascii="Arial" w:cs="Arial" w:eastAsia="Arial" w:hAnsi="Arial"/>
                <w:color w:val="1E1E2E"/>
                <w:sz w:val="20"/>
                <w:szCs w:val="20"/>
              </w:rPr>
              <w:t xml:space="preserve">Student Profiles</w:t>
            </w:r>
          </w:p>
        </w:tc>
        <w:tc>
          <w:tcPr>
            <w:tcW w:type="dxa" w:w="656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pPr>
              <w:jc w:val="left"/>
            </w:pPr>
            <w:r>
              <w:rPr>
                <w:rFonts w:ascii="Arial" w:cs="Arial" w:eastAsia="Arial" w:hAnsi="Arial"/>
                <w:color w:val="1E1E2E"/>
                <w:sz w:val="20"/>
                <w:szCs w:val="20"/>
              </w:rPr>
              <w:t xml:space="preserve">All analytics outputs enrich the student's placement profile with data-verified performance credentials</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SME &amp; Corporate CRM</w:t>
            </w:r>
          </w:p>
        </w:tc>
        <w:tc>
          <w:tcPr>
            <w:tcW w:type="dxa" w:w="65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Employer-specific skill requirements mapped against student skill growth data for targeted placement matching</w:t>
            </w:r>
          </w:p>
        </w:tc>
      </w:tr>
      <w:tr>
        <w:tc>
          <w:tcPr>
            <w:tcW w:type="dxa" w:w="28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pPr>
              <w:jc w:val="left"/>
            </w:pPr>
            <w:r>
              <w:rPr>
                <w:rFonts w:ascii="Arial" w:cs="Arial" w:eastAsia="Arial" w:hAnsi="Arial"/>
                <w:color w:val="1E1E2E"/>
                <w:sz w:val="20"/>
                <w:szCs w:val="20"/>
              </w:rPr>
              <w:t xml:space="preserve">Compliance &amp; Accreditation</w:t>
            </w:r>
          </w:p>
        </w:tc>
        <w:tc>
          <w:tcPr>
            <w:tcW w:type="dxa" w:w="656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pPr>
              <w:jc w:val="left"/>
            </w:pPr>
            <w:r>
              <w:rPr>
                <w:rFonts w:ascii="Arial" w:cs="Arial" w:eastAsia="Arial" w:hAnsi="Arial"/>
                <w:color w:val="1E1E2E"/>
                <w:sz w:val="20"/>
                <w:szCs w:val="20"/>
              </w:rPr>
              <w:t xml:space="preserve">NAAC/NBA-formatted reports auto-generated from cohort performance, learning progress, and trainer impact data</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Parent Portal</w:t>
            </w:r>
          </w:p>
        </w:tc>
        <w:tc>
          <w:tcPr>
            <w:tcW w:type="dxa" w:w="65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Simplified performance summaries available to parents; engagement alerts trigger parent notifications</w:t>
            </w:r>
          </w:p>
        </w:tc>
      </w:tr>
      <w:tr>
        <w:tc>
          <w:tcPr>
            <w:tcW w:type="dxa" w:w="28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pPr>
              <w:jc w:val="left"/>
            </w:pPr>
            <w:r>
              <w:rPr>
                <w:rFonts w:ascii="Arial" w:cs="Arial" w:eastAsia="Arial" w:hAnsi="Arial"/>
                <w:color w:val="1E1E2E"/>
                <w:sz w:val="20"/>
                <w:szCs w:val="20"/>
              </w:rPr>
              <w:t xml:space="preserve">HOD / Management Dashboard</w:t>
            </w:r>
          </w:p>
        </w:tc>
        <w:tc>
          <w:tcPr>
            <w:tcW w:type="dxa" w:w="656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pPr>
              <w:jc w:val="left"/>
            </w:pPr>
            <w:r>
              <w:rPr>
                <w:rFonts w:ascii="Arial" w:cs="Arial" w:eastAsia="Arial" w:hAnsi="Arial"/>
                <w:color w:val="1E1E2E"/>
                <w:sz w:val="20"/>
                <w:szCs w:val="20"/>
              </w:rPr>
              <w:t xml:space="preserve">All 7 sub-feature analytics aggregated into department and institution-level executive dashboards</w:t>
            </w:r>
          </w:p>
        </w:tc>
      </w:tr>
    </w:tbl>
    <w:p>
      <w:pPr>
        <w:spacing w:before="80" w:after="80"/>
      </w:pPr>
      <w:r>
        <w:t xml:space="preserve"/>
      </w:r>
    </w:p>
    <w:p>
      <w:pPr>
        <w:spacing w:before="80" w:after="80"/>
      </w:pPr>
      <w:r>
        <w:t xml:space="preserve"/>
      </w:r>
    </w:p>
    <w:p>
      <w:pPr>
        <w:pStyle w:val="Heading1"/>
        <w:spacing w:before="400" w:after="180"/>
      </w:pPr>
      <w:r>
        <w:rPr>
          <w:rFonts w:ascii="Arial" w:cs="Arial" w:eastAsia="Arial" w:hAnsi="Arial"/>
          <w:b/>
          <w:bCs/>
          <w:color w:val="1A3C6E"/>
          <w:sz w:val="38"/>
          <w:szCs w:val="38"/>
        </w:rPr>
        <w:t xml:space="preserve">AI &amp; Technology Architecture</w:t>
      </w:r>
    </w:p>
    <w:p>
      <w:pPr>
        <w:spacing w:before="80" w:after="80"/>
      </w:pPr>
      <w:r>
        <w:rPr>
          <w:rFonts w:ascii="Arial" w:cs="Arial" w:eastAsia="Arial" w:hAnsi="Arial"/>
          <w:color w:val="1E1E2E"/>
          <w:sz w:val="22"/>
          <w:szCs w:val="22"/>
        </w:rPr>
        <w:t xml:space="preserve">Feature 10 relies on a multi-layer analytics architecture to deliver real-time, predictive, and actionable insights: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3E8" w:sz="1"/>
              <w:left w:val="single" w:color="C5D3E8" w:sz="1"/>
              <w:bottom w:val="single" w:color="C5D3E8" w:sz="1"/>
              <w:right w:val="single" w:color="C5D3E8" w:sz="1"/>
            </w:tcBorders>
            <w:shd w:fill="1A3C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Layer</w:t>
            </w:r>
          </w:p>
        </w:tc>
        <w:tc>
          <w:tcPr>
            <w:tcW w:type="dxa" w:w="6960"/>
            <w:tcBorders>
              <w:top w:val="single" w:color="C5D3E8" w:sz="1"/>
              <w:left w:val="single" w:color="C5D3E8" w:sz="1"/>
              <w:bottom w:val="single" w:color="C5D3E8" w:sz="1"/>
              <w:right w:val="single" w:color="C5D3E8" w:sz="1"/>
            </w:tcBorders>
            <w:shd w:fill="1A3C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Technology &amp; Function</w:t>
            </w:r>
          </w:p>
        </w:tc>
      </w:tr>
      <w:tr>
        <w:tc>
          <w:tcPr>
            <w:tcW w:type="dxa" w:w="24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pPr>
              <w:jc w:val="left"/>
            </w:pPr>
            <w:r>
              <w:rPr>
                <w:rFonts w:ascii="Arial" w:cs="Arial" w:eastAsia="Arial" w:hAnsi="Arial"/>
                <w:color w:val="1E1E2E"/>
                <w:sz w:val="20"/>
                <w:szCs w:val="20"/>
              </w:rPr>
              <w:t xml:space="preserve">Data Collection</w:t>
            </w:r>
          </w:p>
        </w:tc>
        <w:tc>
          <w:tcPr>
            <w:tcW w:type="dxa" w:w="696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pPr>
              <w:jc w:val="left"/>
            </w:pPr>
            <w:r>
              <w:rPr>
                <w:rFonts w:ascii="Arial" w:cs="Arial" w:eastAsia="Arial" w:hAnsi="Arial"/>
                <w:color w:val="1E1E2E"/>
                <w:sz w:val="20"/>
                <w:szCs w:val="20"/>
              </w:rPr>
              <w:t xml:space="preserve">Event-driven tracking of all student and trainer interactions — clicks, submissions, session joins, quiz attempts, content interactions</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Data Pipeline</w:t>
            </w:r>
          </w:p>
        </w:tc>
        <w:tc>
          <w:tcPr>
            <w:tcW w:type="dxa" w:w="69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Real-time data processing pipeline with 5-minute refresh cycles for live dashboards; nightly batch processing for deep analytics</w:t>
            </w:r>
          </w:p>
        </w:tc>
      </w:tr>
      <w:tr>
        <w:tc>
          <w:tcPr>
            <w:tcW w:type="dxa" w:w="24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pPr>
              <w:jc w:val="left"/>
            </w:pPr>
            <w:r>
              <w:rPr>
                <w:rFonts w:ascii="Arial" w:cs="Arial" w:eastAsia="Arial" w:hAnsi="Arial"/>
                <w:color w:val="1E1E2E"/>
                <w:sz w:val="20"/>
                <w:szCs w:val="20"/>
              </w:rPr>
              <w:t xml:space="preserve">AI / ML Models</w:t>
            </w:r>
          </w:p>
        </w:tc>
        <w:tc>
          <w:tcPr>
            <w:tcW w:type="dxa" w:w="696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pPr>
              <w:jc w:val="left"/>
            </w:pPr>
            <w:r>
              <w:rPr>
                <w:rFonts w:ascii="Arial" w:cs="Arial" w:eastAsia="Arial" w:hAnsi="Arial"/>
                <w:color w:val="1E1E2E"/>
                <w:sz w:val="20"/>
                <w:szCs w:val="20"/>
              </w:rPr>
              <w:t xml:space="preserve">Supervised ML models for learning outcome prediction; clustering algorithms for at-risk student identification; NLP for reflection and feedback quality analysis</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Behavioral Engine</w:t>
            </w:r>
          </w:p>
        </w:tc>
        <w:tc>
          <w:tcPr>
            <w:tcW w:type="dxa" w:w="69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Pattern recognition algorithms analyzing temporal sequences of student actions to infer learning style, persistence, and risk patterns</w:t>
            </w:r>
          </w:p>
        </w:tc>
      </w:tr>
      <w:tr>
        <w:tc>
          <w:tcPr>
            <w:tcW w:type="dxa" w:w="24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pPr>
              <w:jc w:val="left"/>
            </w:pPr>
            <w:r>
              <w:rPr>
                <w:rFonts w:ascii="Arial" w:cs="Arial" w:eastAsia="Arial" w:hAnsi="Arial"/>
                <w:color w:val="1E1E2E"/>
                <w:sz w:val="20"/>
                <w:szCs w:val="20"/>
              </w:rPr>
              <w:t xml:space="preserve">Visualization Layer</w:t>
            </w:r>
          </w:p>
        </w:tc>
        <w:tc>
          <w:tcPr>
            <w:tcW w:type="dxa" w:w="696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pPr>
              <w:jc w:val="left"/>
            </w:pPr>
            <w:r>
              <w:rPr>
                <w:rFonts w:ascii="Arial" w:cs="Arial" w:eastAsia="Arial" w:hAnsi="Arial"/>
                <w:color w:val="1E1E2E"/>
                <w:sz w:val="20"/>
                <w:szCs w:val="20"/>
              </w:rPr>
              <w:t xml:space="preserve">Interactive dashboards with drill-down, filter, and export capabilities; mobile-responsive for tablet and phone access by faculty and students</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Privacy &amp; Compliance</w:t>
            </w:r>
          </w:p>
        </w:tc>
        <w:tc>
          <w:tcPr>
            <w:tcW w:type="dxa" w:w="69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Role-based data access controls; student data anonymized in cohort-level views; DPDP Act 2023 (India) compliance built in</w:t>
            </w:r>
          </w:p>
        </w:tc>
      </w:tr>
    </w:tbl>
    <w:p>
      <w:pPr>
        <w:spacing w:before="80" w:after="80"/>
      </w:pPr>
      <w:r>
        <w:t xml:space="preserve"/>
      </w:r>
    </w:p>
    <w:p>
      <w:pPr>
        <w:spacing w:before="80" w:after="80"/>
      </w:pPr>
      <w:r>
        <w:t xml:space="preserve"/>
      </w:r>
    </w:p>
    <w:p>
      <w:pPr>
        <w:pStyle w:val="Heading1"/>
        <w:spacing w:before="400" w:after="180"/>
      </w:pPr>
      <w:r>
        <w:rPr>
          <w:rFonts w:ascii="Arial" w:cs="Arial" w:eastAsia="Arial" w:hAnsi="Arial"/>
          <w:b/>
          <w:bCs/>
          <w:color w:val="1A3C6E"/>
          <w:sz w:val="38"/>
          <w:szCs w:val="38"/>
        </w:rPr>
        <w:t xml:space="preserve">Stakeholder Impact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3E8" w:sz="1"/>
              <w:left w:val="single" w:color="C5D3E8" w:sz="1"/>
              <w:bottom w:val="single" w:color="C5D3E8" w:sz="1"/>
              <w:right w:val="single" w:color="C5D3E8" w:sz="1"/>
            </w:tcBorders>
            <w:shd w:fill="1A3C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Stakeholder</w:t>
            </w:r>
          </w:p>
        </w:tc>
        <w:tc>
          <w:tcPr>
            <w:tcW w:type="dxa" w:w="7360"/>
            <w:tcBorders>
              <w:top w:val="single" w:color="C5D3E8" w:sz="1"/>
              <w:left w:val="single" w:color="C5D3E8" w:sz="1"/>
              <w:bottom w:val="single" w:color="C5D3E8" w:sz="1"/>
              <w:right w:val="single" w:color="C5D3E8" w:sz="1"/>
            </w:tcBorders>
            <w:shd w:fill="1A3C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Key Impact of Feature 10</w:t>
            </w:r>
          </w:p>
        </w:tc>
      </w:tr>
      <w:tr>
        <w:tc>
          <w:tcPr>
            <w:tcW w:type="dxa" w:w="20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pPr>
              <w:jc w:val="left"/>
            </w:pPr>
            <w:r>
              <w:rPr>
                <w:rFonts w:ascii="Arial" w:cs="Arial" w:eastAsia="Arial" w:hAnsi="Arial"/>
                <w:color w:val="1E1E2E"/>
                <w:sz w:val="20"/>
                <w:szCs w:val="20"/>
              </w:rPr>
              <w:t xml:space="preserve">Students</w:t>
            </w:r>
          </w:p>
        </w:tc>
        <w:tc>
          <w:tcPr>
            <w:tcW w:type="dxa" w:w="736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pPr>
              <w:jc w:val="left"/>
            </w:pPr>
            <w:r>
              <w:rPr>
                <w:rFonts w:ascii="Arial" w:cs="Arial" w:eastAsia="Arial" w:hAnsi="Arial"/>
                <w:color w:val="1E1E2E"/>
                <w:sz w:val="20"/>
                <w:szCs w:val="20"/>
              </w:rPr>
              <w:t xml:space="preserve">Self-aware, data-informed learners with clear improvement paths; better placement outcomes through targeted preparation</w:t>
            </w:r>
          </w:p>
        </w:tc>
      </w:tr>
      <w:tr>
        <w:tc>
          <w:tcPr>
            <w:tcW w:type="dxa" w:w="2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Faculty</w:t>
            </w:r>
          </w:p>
        </w:tc>
        <w:tc>
          <w:tcPr>
            <w:tcW w:type="dxa" w:w="73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Objective, data-backed class performance visibility; early warning for at-risk students; reduced manual reporting burden</w:t>
            </w:r>
          </w:p>
        </w:tc>
      </w:tr>
      <w:tr>
        <w:tc>
          <w:tcPr>
            <w:tcW w:type="dxa" w:w="20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pPr>
              <w:jc w:val="left"/>
            </w:pPr>
            <w:r>
              <w:rPr>
                <w:rFonts w:ascii="Arial" w:cs="Arial" w:eastAsia="Arial" w:hAnsi="Arial"/>
                <w:color w:val="1E1E2E"/>
                <w:sz w:val="20"/>
                <w:szCs w:val="20"/>
              </w:rPr>
              <w:t xml:space="preserve">Trainers</w:t>
            </w:r>
          </w:p>
        </w:tc>
        <w:tc>
          <w:tcPr>
            <w:tcW w:type="dxa" w:w="736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pPr>
              <w:jc w:val="left"/>
            </w:pPr>
            <w:r>
              <w:rPr>
                <w:rFonts w:ascii="Arial" w:cs="Arial" w:eastAsia="Arial" w:hAnsi="Arial"/>
                <w:color w:val="1E1E2E"/>
                <w:sz w:val="20"/>
                <w:szCs w:val="20"/>
              </w:rPr>
              <w:t xml:space="preserve">Outcome-linked performance metrics replacing subjective reviews; personalized development recommendations</w:t>
            </w:r>
          </w:p>
        </w:tc>
      </w:tr>
      <w:tr>
        <w:tc>
          <w:tcPr>
            <w:tcW w:type="dxa" w:w="2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HOD</w:t>
            </w:r>
          </w:p>
        </w:tc>
        <w:tc>
          <w:tcPr>
            <w:tcW w:type="dxa" w:w="73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Evidence-based curriculum decisions; department benchmarking; accreditation data at fingertips</w:t>
            </w:r>
          </w:p>
        </w:tc>
      </w:tr>
      <w:tr>
        <w:tc>
          <w:tcPr>
            <w:tcW w:type="dxa" w:w="20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pPr>
              <w:jc w:val="left"/>
            </w:pPr>
            <w:r>
              <w:rPr>
                <w:rFonts w:ascii="Arial" w:cs="Arial" w:eastAsia="Arial" w:hAnsi="Arial"/>
                <w:color w:val="1E1E2E"/>
                <w:sz w:val="20"/>
                <w:szCs w:val="20"/>
              </w:rPr>
              <w:t xml:space="preserve">Placement Office</w:t>
            </w:r>
          </w:p>
        </w:tc>
        <w:tc>
          <w:tcPr>
            <w:tcW w:type="dxa" w:w="736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pPr>
              <w:jc w:val="left"/>
            </w:pPr>
            <w:r>
              <w:rPr>
                <w:rFonts w:ascii="Arial" w:cs="Arial" w:eastAsia="Arial" w:hAnsi="Arial"/>
                <w:color w:val="1E1E2E"/>
                <w:sz w:val="20"/>
                <w:szCs w:val="20"/>
              </w:rPr>
              <w:t xml:space="preserve">Pre-verified skill profiles; placement readiness scoring months before season; company-specific matching intelligence</w:t>
            </w:r>
          </w:p>
        </w:tc>
      </w:tr>
      <w:tr>
        <w:tc>
          <w:tcPr>
            <w:tcW w:type="dxa" w:w="2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Counselors</w:t>
            </w:r>
          </w:p>
        </w:tc>
        <w:tc>
          <w:tcPr>
            <w:tcW w:type="dxa" w:w="73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Behavioral change alerts enabling early wellbeing interventions; data-supported student counseling conversations</w:t>
            </w:r>
          </w:p>
        </w:tc>
      </w:tr>
      <w:tr>
        <w:tc>
          <w:tcPr>
            <w:tcW w:type="dxa" w:w="2000"/>
            <w:tcBorders>
              <w:top w:val="single" w:color="C5D3E8" w:sz="1"/>
              <w:left w:val="single" w:color="C5D3E8" w:sz="1"/>
              <w:bottom w:val="single" w:color="C5D3E8" w:sz="1"/>
              <w:right w:val="single" w:color="C5D3E8" w:sz="1"/>
            </w:tcBorders>
            <w:shd w:fill="E8F0FB" w:val="clear"/>
            <w:tcMar>
              <w:top w:type="dxa" w:w="80"/>
              <w:left w:type="dxa" w:w="150"/>
              <w:bottom w:type="dxa" w:w="80"/>
              <w:right w:type="dxa" w:w="150"/>
            </w:tcMar>
          </w:tcPr>
          <w:p>
            <w:pPr>
              <w:jc w:val="left"/>
            </w:pPr>
            <w:r>
              <w:rPr>
                <w:rFonts w:ascii="Arial" w:cs="Arial" w:eastAsia="Arial" w:hAnsi="Arial"/>
                <w:color w:val="1E1E2E"/>
                <w:sz w:val="20"/>
                <w:szCs w:val="20"/>
              </w:rPr>
              <w:t xml:space="preserve">Management/Board</w:t>
            </w:r>
          </w:p>
        </w:tc>
        <w:tc>
          <w:tcPr>
            <w:tcW w:type="dxa" w:w="7360"/>
            <w:tcBorders>
              <w:top w:val="single" w:color="C5D3E8" w:sz="1"/>
              <w:left w:val="single" w:color="C5D3E8" w:sz="1"/>
              <w:bottom w:val="single" w:color="C5D3E8" w:sz="1"/>
              <w:right w:val="single" w:color="C5D3E8" w:sz="1"/>
            </w:tcBorders>
            <w:shd w:fill="F4F6FA" w:val="clear"/>
            <w:tcMar>
              <w:top w:type="dxa" w:w="80"/>
              <w:left w:type="dxa" w:w="150"/>
              <w:bottom w:type="dxa" w:w="80"/>
              <w:right w:type="dxa" w:w="150"/>
            </w:tcMar>
          </w:tcPr>
          <w:p>
            <w:pPr>
              <w:jc w:val="left"/>
            </w:pPr>
            <w:r>
              <w:rPr>
                <w:rFonts w:ascii="Arial" w:cs="Arial" w:eastAsia="Arial" w:hAnsi="Arial"/>
                <w:color w:val="1E1E2E"/>
                <w:sz w:val="20"/>
                <w:szCs w:val="20"/>
              </w:rPr>
              <w:t xml:space="preserve">Institutional performance intelligence for strategic decisions; regulatory compliance reports auto-generated</w:t>
            </w:r>
          </w:p>
        </w:tc>
      </w:tr>
      <w:tr>
        <w:tc>
          <w:tcPr>
            <w:tcW w:type="dxa" w:w="2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Parents</w:t>
            </w:r>
          </w:p>
        </w:tc>
        <w:tc>
          <w:tcPr>
            <w:tcW w:type="dxa" w:w="73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pPr>
              <w:jc w:val="left"/>
            </w:pPr>
            <w:r>
              <w:rPr>
                <w:rFonts w:ascii="Arial" w:cs="Arial" w:eastAsia="Arial" w:hAnsi="Arial"/>
                <w:color w:val="1E1E2E"/>
                <w:sz w:val="20"/>
                <w:szCs w:val="20"/>
              </w:rPr>
              <w:t xml:space="preserve">Transparent, reliable performance communication; early alerts on engagement drops before outcomes deteriorate</w:t>
            </w:r>
          </w:p>
        </w:tc>
      </w:tr>
    </w:tbl>
    <w:p>
      <w:pPr>
        <w:spacing w:before="80" w:after="80"/>
      </w:pPr>
      <w:r>
        <w:t xml:space="preserve"/>
      </w:r>
    </w:p>
    <w:p>
      <w:pPr>
        <w:spacing w:before="80" w:after="80"/>
      </w:pPr>
      <w:r>
        <w:t xml:space="preserve"/>
      </w:r>
    </w:p>
    <w:p>
      <w:pPr>
        <w:pStyle w:val="Heading1"/>
        <w:spacing w:before="400" w:after="180"/>
      </w:pPr>
      <w:r>
        <w:rPr>
          <w:rFonts w:ascii="Arial" w:cs="Arial" w:eastAsia="Arial" w:hAnsi="Arial"/>
          <w:b/>
          <w:bCs/>
          <w:color w:val="1A3C6E"/>
          <w:sz w:val="38"/>
          <w:szCs w:val="38"/>
        </w:rPr>
        <w:t xml:space="preserve">Conclusion</w:t>
      </w:r>
    </w:p>
    <w:p>
      <w:pPr>
        <w:spacing w:before="80" w:after="80"/>
      </w:pPr>
      <w:r>
        <w:rPr>
          <w:rFonts w:ascii="Arial" w:cs="Arial" w:eastAsia="Arial" w:hAnsi="Arial"/>
          <w:color w:val="1E1E2E"/>
          <w:sz w:val="22"/>
          <w:szCs w:val="22"/>
        </w:rPr>
        <w:t xml:space="preserve">Feature 10 — Student Performance Analytics — represents a fundamental upgrade in how institutes understand, track, and act on student learning data. By transforming the platform from a delivery tool into an intelligence platform, it enables every stakeholder to make better decisions, faster, with evidence rather than intuition.</w:t>
      </w:r>
    </w:p>
    <w:p>
      <w:pPr>
        <w:spacing w:before="80" w:after="80"/>
      </w:pPr>
      <w:r>
        <w:t xml:space="preserve"/>
      </w:r>
    </w:p>
    <w:p>
      <w:pPr>
        <w:spacing w:before="80" w:after="80"/>
      </w:pPr>
      <w:r>
        <w:rPr>
          <w:rFonts w:ascii="Arial" w:cs="Arial" w:eastAsia="Arial" w:hAnsi="Arial"/>
          <w:color w:val="1E1E2E"/>
          <w:sz w:val="22"/>
          <w:szCs w:val="22"/>
        </w:rPr>
        <w:t xml:space="preserve">The 7 sub-features together create a closed-loop performance intelligence system: individual dashboards make students self-aware; cohort analytics guide institutional decisions; progress and skill tracking measure what matters most for placements; engagement data catches disengagement before it becomes failure; trainer analytics improve instruction quality; and behavioral insights reveal the hidden patterns that predict who will succeed — and who needs help before it is too late.</w:t>
      </w:r>
    </w:p>
    <w:p>
      <w:pPr>
        <w:spacing w:before="80" w:after="80"/>
      </w:pPr>
      <w:r>
        <w:t xml:space="preserve"/>
      </w:r>
    </w:p>
    <w:p>
      <w:pPr>
        <w:spacing w:before="80" w:after="80"/>
      </w:pPr>
      <w:r>
        <w:rPr>
          <w:rFonts w:ascii="Arial" w:cs="Arial" w:eastAsia="Arial" w:hAnsi="Arial"/>
          <w:color w:val="1E1E2E"/>
          <w:sz w:val="22"/>
          <w:szCs w:val="22"/>
        </w:rPr>
        <w:t xml:space="preserve">Grounded in internationally recognized educational research, calibrated for the realities of Indian tier-2/3 institutes, and built to satisfy regulatory accreditation requirements, Feature 10 is not merely a dashboard — it is the institutional intelligence backbone that makes the entire placement platform smarter, fairer, and more effective for every student it serves.</w:t>
      </w:r>
    </w:p>
    <w:p>
      <w:pPr>
        <w:spacing w:before="80" w:after="80"/>
      </w:pPr>
      <w:r>
        <w:t xml:space="preserve"/>
      </w:r>
    </w:p>
    <w:p>
      <w:pPr>
        <w:pBdr>
          <w:bottom w:val="single" w:color="B0C8EF" w:sz="6" w:space="1"/>
        </w:pBdr>
        <w:spacing w:before="140" w:after="140"/>
      </w:pPr>
      <w:r>
        <w:t xml:space="preserve"/>
      </w:r>
    </w:p>
    <w:p>
      <w:pPr>
        <w:spacing w:before="120" w:after="60"/>
        <w:jc w:val="center"/>
      </w:pPr>
      <w:r>
        <w:rPr>
          <w:rFonts w:ascii="Arial" w:cs="Arial" w:eastAsia="Arial" w:hAnsi="Arial"/>
          <w:i/>
          <w:iCs/>
          <w:color w:val="1A3C6E"/>
          <w:sz w:val="18"/>
          <w:szCs w:val="18"/>
        </w:rPr>
        <w:t xml:space="preserve">Student Performance Analytics — Feature Description Document  |  Version 1.0  |  2025–2026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8EF" w:sz="4" w:space="1"/>
      </w:pBdr>
      <w:tabs>
        <w:tab w:val="right" w:pos="9026"/>
      </w:tabs>
    </w:pPr>
    <w:r>
      <w:rPr>
        <w:rFonts w:ascii="Arial" w:cs="Arial" w:eastAsia="Arial" w:hAnsi="Arial"/>
        <w:i/>
        <w:iCs/>
        <w:color w:val="1A3C6E"/>
        <w:sz w:val="16"/>
        <w:szCs w:val="16"/>
      </w:rPr>
      <w:t xml:space="preserve">Confidential — Internal Use Only</w:t>
    </w:r>
    <w:r>
      <w:rPr>
        <w:rFonts w:ascii="Arial" w:cs="Arial" w:eastAsia="Arial" w:hAnsi="Arial"/>
        <w:color w:val="1E1E2E"/>
        <w:sz w:val="16"/>
        <w:szCs w:val="16"/>
      </w:rPr>
      <w:t xml:space="preserve">	Version 1.0  |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4" w:space="1"/>
      </w:pBdr>
    </w:pPr>
    <w:r>
      <w:rPr>
        <w:rFonts w:ascii="Arial" w:cs="Arial" w:eastAsia="Arial" w:hAnsi="Arial"/>
        <w:color w:val="1A3C6E"/>
        <w:sz w:val="18"/>
        <w:szCs w:val="18"/>
      </w:rPr>
      <w:t xml:space="preserve">FEATURE 10: Student Performance Analytics  |  Institute-Side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1A3C6E"/>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1E1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2026-03-09T10:56:01.886Z</dcterms:created>
  <dcterms:modified xsi:type="dcterms:W3CDTF">2026-03-09T10:56:01.887Z</dcterms:modified>
</cp:coreProperties>
</file>

<file path=docProps/custom.xml><?xml version="1.0" encoding="utf-8"?>
<Properties xmlns="http://schemas.openxmlformats.org/officeDocument/2006/custom-properties" xmlns:vt="http://schemas.openxmlformats.org/officeDocument/2006/docPropsVTypes"/>
</file>