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E38" w:val="clear"/>
            <w:tcMar>
              <w:top w:type="dxa" w:w="480"/>
              <w:left w:type="dxa" w:w="440"/>
              <w:bottom w:type="dxa" w:w="480"/>
              <w:right w:type="dxa" w:w="440"/>
            </w:tcMar>
          </w:tcPr>
          <w:p>
            <w:pPr>
              <w:jc w:val="center"/>
            </w:pPr>
            <w:r>
              <w:rPr>
                <w:rFonts w:ascii="Calibri" w:cs="Calibri" w:eastAsia="Calibri" w:hAnsi="Calibri"/>
                <w:b/>
                <w:bCs/>
                <w:color w:val="FFFFFF"/>
                <w:sz w:val="96"/>
                <w:szCs w:val="96"/>
              </w:rPr>
              <w:t xml:space="preserve">ECOSKILLER</w:t>
            </w:r>
          </w:p>
          <w:p>
            <w:pPr>
              <w:spacing w:before="80" w:after="80"/>
              <w:jc w:val="center"/>
            </w:pPr>
            <w:r>
              <w:rPr>
                <w:rFonts w:ascii="Calibri" w:cs="Calibri" w:eastAsia="Calibri" w:hAnsi="Calibri"/>
                <w:b/>
                <w:bCs/>
                <w:color w:val="E6B000"/>
                <w:sz w:val="56"/>
                <w:szCs w:val="56"/>
              </w:rPr>
              <w:t xml:space="preserve">TRAINER PROFILE MANAGEMENT</w:t>
            </w:r>
          </w:p>
          <w:p>
            <w:pPr>
              <w:spacing w:before="40" w:after="180"/>
              <w:jc w:val="center"/>
            </w:pPr>
            <w:r>
              <w:rPr>
                <w:rFonts w:ascii="Calibri" w:cs="Calibri" w:eastAsia="Calibri" w:hAnsi="Calibri"/>
                <w:i/>
                <w:iCs/>
                <w:color w:val="BBCCEE"/>
                <w:sz w:val="26"/>
                <w:szCs w:val="26"/>
              </w:rPr>
              <w:t xml:space="preserve">In-Depth Feature Research — All 12 Profile Management Features</w:t>
            </w:r>
          </w:p>
          <w:p>
            <w:pPr>
              <w:jc w:val="center"/>
            </w:pPr>
            <w:r>
              <w:rPr>
                <w:rFonts w:ascii="Calibri" w:cs="Calibri" w:eastAsia="Calibri" w:hAnsi="Calibri"/>
                <w:color w:val="8899BB"/>
                <w:sz w:val="19"/>
                <w:szCs w:val="19"/>
              </w:rPr>
              <w:t xml:space="preserve">Professional Profile · Domain Specialization · Skills &amp; Tools · Experience · Certifications · Portfolio · Industry Exposure · Bio · Media · Visibility · Availability · Contact Preferences</w:t>
            </w:r>
          </w:p>
        </w:tc>
      </w:tr>
    </w:tbl>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3C8D3" w:sz="1"/>
              <w:left w:val="single" w:color="C3C8D3" w:sz="1"/>
              <w:bottom w:val="single" w:color="C3C8D3" w:sz="1"/>
              <w:right w:val="single" w:color="C3C8D3" w:sz="1"/>
            </w:tcBorders>
            <w:shd w:fill="0B1E38" w:val="clear"/>
            <w:tcMar>
              <w:top w:type="dxa" w:w="130"/>
              <w:left w:type="dxa" w:w="80"/>
              <w:bottom w:type="dxa" w:w="130"/>
              <w:right w:type="dxa" w:w="80"/>
            </w:tcMar>
            <w:vAlign w:val="center"/>
          </w:tcPr>
          <w:p>
            <w:pPr>
              <w:jc w:val="center"/>
            </w:pPr>
            <w:r>
              <w:rPr>
                <w:rFonts w:ascii="Calibri" w:cs="Calibri" w:eastAsia="Calibri" w:hAnsi="Calibri"/>
                <w:b/>
                <w:bCs/>
                <w:color w:val="FFFFFF"/>
                <w:sz w:val="46"/>
                <w:szCs w:val="46"/>
              </w:rPr>
              <w:t xml:space="preserve">12</w:t>
            </w:r>
          </w:p>
          <w:p>
            <w:pPr>
              <w:jc w:val="center"/>
            </w:pPr>
            <w:r>
              <w:rPr>
                <w:rFonts w:ascii="Calibri" w:cs="Calibri" w:eastAsia="Calibri" w:hAnsi="Calibri"/>
                <w:color w:val="FFFFFF"/>
                <w:sz w:val="17"/>
                <w:szCs w:val="17"/>
              </w:rPr>
              <w:t xml:space="preserve">Features Deep-Researched</w:t>
            </w:r>
          </w:p>
        </w:tc>
        <w:tc>
          <w:tcPr>
            <w:tcW w:type="dxa" w:w="1872"/>
            <w:tcBorders>
              <w:top w:val="single" w:color="C3C8D3" w:sz="1"/>
              <w:left w:val="single" w:color="C3C8D3" w:sz="1"/>
              <w:bottom w:val="single" w:color="C3C8D3" w:sz="1"/>
              <w:right w:val="single" w:color="C3C8D3" w:sz="1"/>
            </w:tcBorders>
            <w:shd w:fill="0C5B70" w:val="clear"/>
            <w:tcMar>
              <w:top w:type="dxa" w:w="130"/>
              <w:left w:type="dxa" w:w="80"/>
              <w:bottom w:type="dxa" w:w="130"/>
              <w:right w:type="dxa" w:w="80"/>
            </w:tcMar>
            <w:vAlign w:val="center"/>
          </w:tcPr>
          <w:p>
            <w:pPr>
              <w:jc w:val="center"/>
            </w:pPr>
            <w:r>
              <w:rPr>
                <w:rFonts w:ascii="Calibri" w:cs="Calibri" w:eastAsia="Calibri" w:hAnsi="Calibri"/>
                <w:b/>
                <w:bCs/>
                <w:color w:val="FFFFFF"/>
                <w:sz w:val="46"/>
                <w:szCs w:val="46"/>
              </w:rPr>
              <w:t xml:space="preserve">120+</w:t>
            </w:r>
          </w:p>
          <w:p>
            <w:pPr>
              <w:jc w:val="center"/>
            </w:pPr>
            <w:r>
              <w:rPr>
                <w:rFonts w:ascii="Calibri" w:cs="Calibri" w:eastAsia="Calibri" w:hAnsi="Calibri"/>
                <w:color w:val="FFFFFF"/>
                <w:sz w:val="17"/>
                <w:szCs w:val="17"/>
              </w:rPr>
              <w:t xml:space="preserve">Profile Data Points</w:t>
            </w:r>
          </w:p>
        </w:tc>
        <w:tc>
          <w:tcPr>
            <w:tcW w:type="dxa" w:w="1872"/>
            <w:tcBorders>
              <w:top w:val="single" w:color="C3C8D3" w:sz="1"/>
              <w:left w:val="single" w:color="C3C8D3" w:sz="1"/>
              <w:bottom w:val="single" w:color="C3C8D3" w:sz="1"/>
              <w:right w:val="single" w:color="C3C8D3" w:sz="1"/>
            </w:tcBorders>
            <w:shd w:fill="9C5500" w:val="clear"/>
            <w:tcMar>
              <w:top w:type="dxa" w:w="130"/>
              <w:left w:type="dxa" w:w="80"/>
              <w:bottom w:type="dxa" w:w="130"/>
              <w:right w:type="dxa" w:w="80"/>
            </w:tcMar>
            <w:vAlign w:val="center"/>
          </w:tcPr>
          <w:p>
            <w:pPr>
              <w:jc w:val="center"/>
            </w:pPr>
            <w:r>
              <w:rPr>
                <w:rFonts w:ascii="Calibri" w:cs="Calibri" w:eastAsia="Calibri" w:hAnsi="Calibri"/>
                <w:b/>
                <w:bCs/>
                <w:color w:val="FFFFFF"/>
                <w:sz w:val="46"/>
                <w:szCs w:val="46"/>
              </w:rPr>
              <w:t xml:space="preserve">7</w:t>
            </w:r>
          </w:p>
          <w:p>
            <w:pPr>
              <w:jc w:val="center"/>
            </w:pPr>
            <w:r>
              <w:rPr>
                <w:rFonts w:ascii="Calibri" w:cs="Calibri" w:eastAsia="Calibri" w:hAnsi="Calibri"/>
                <w:color w:val="FFFFFF"/>
                <w:sz w:val="17"/>
                <w:szCs w:val="17"/>
              </w:rPr>
              <w:t xml:space="preserve">Visibility Control Layers</w:t>
            </w:r>
          </w:p>
        </w:tc>
        <w:tc>
          <w:tcPr>
            <w:tcW w:type="dxa" w:w="1872"/>
            <w:tcBorders>
              <w:top w:val="single" w:color="C3C8D3" w:sz="1"/>
              <w:left w:val="single" w:color="C3C8D3" w:sz="1"/>
              <w:bottom w:val="single" w:color="C3C8D3" w:sz="1"/>
              <w:right w:val="single" w:color="C3C8D3" w:sz="1"/>
            </w:tcBorders>
            <w:shd w:fill="3C1870" w:val="clear"/>
            <w:tcMar>
              <w:top w:type="dxa" w:w="130"/>
              <w:left w:type="dxa" w:w="80"/>
              <w:bottom w:type="dxa" w:w="130"/>
              <w:right w:type="dxa" w:w="80"/>
            </w:tcMar>
            <w:vAlign w:val="center"/>
          </w:tcPr>
          <w:p>
            <w:pPr>
              <w:jc w:val="center"/>
            </w:pPr>
            <w:r>
              <w:rPr>
                <w:rFonts w:ascii="Calibri" w:cs="Calibri" w:eastAsia="Calibri" w:hAnsi="Calibri"/>
                <w:b/>
                <w:bCs/>
                <w:color w:val="FFFFFF"/>
                <w:sz w:val="46"/>
                <w:szCs w:val="46"/>
              </w:rPr>
              <w:t xml:space="preserve">4</w:t>
            </w:r>
          </w:p>
          <w:p>
            <w:pPr>
              <w:jc w:val="center"/>
            </w:pPr>
            <w:r>
              <w:rPr>
                <w:rFonts w:ascii="Calibri" w:cs="Calibri" w:eastAsia="Calibri" w:hAnsi="Calibri"/>
                <w:color w:val="FFFFFF"/>
                <w:sz w:val="17"/>
                <w:szCs w:val="17"/>
              </w:rPr>
              <w:t xml:space="preserve">Profile Audience Types</w:t>
            </w:r>
          </w:p>
        </w:tc>
        <w:tc>
          <w:tcPr>
            <w:tcW w:type="dxa" w:w="1872"/>
            <w:tcBorders>
              <w:top w:val="single" w:color="C3C8D3" w:sz="1"/>
              <w:left w:val="single" w:color="C3C8D3" w:sz="1"/>
              <w:bottom w:val="single" w:color="C3C8D3" w:sz="1"/>
              <w:right w:val="single" w:color="C3C8D3" w:sz="1"/>
            </w:tcBorders>
            <w:shd w:fill="14512E" w:val="clear"/>
            <w:tcMar>
              <w:top w:type="dxa" w:w="130"/>
              <w:left w:type="dxa" w:w="80"/>
              <w:bottom w:type="dxa" w:w="130"/>
              <w:right w:type="dxa" w:w="80"/>
            </w:tcMar>
            <w:vAlign w:val="center"/>
          </w:tcPr>
          <w:p>
            <w:pPr>
              <w:jc w:val="center"/>
            </w:pPr>
            <w:r>
              <w:rPr>
                <w:rFonts w:ascii="Calibri" w:cs="Calibri" w:eastAsia="Calibri" w:hAnsi="Calibri"/>
                <w:b/>
                <w:bCs/>
                <w:color w:val="FFFFFF"/>
                <w:sz w:val="46"/>
                <w:szCs w:val="46"/>
              </w:rPr>
              <w:t xml:space="preserve">AI</w:t>
            </w:r>
          </w:p>
          <w:p>
            <w:pPr>
              <w:jc w:val="center"/>
            </w:pPr>
            <w:r>
              <w:rPr>
                <w:rFonts w:ascii="Calibri" w:cs="Calibri" w:eastAsia="Calibri" w:hAnsi="Calibri"/>
                <w:color w:val="FFFFFF"/>
                <w:sz w:val="17"/>
                <w:szCs w:val="17"/>
              </w:rPr>
              <w:t xml:space="preserve">Profile Scoring Engine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3C8D3" w:sz="1"/>
              <w:left w:val="single" w:color="C3C8D3" w:sz="1"/>
              <w:bottom w:val="single" w:color="C3C8D3" w:sz="1"/>
              <w:right w:val="single" w:color="C3C8D3" w:sz="1"/>
            </w:tcBorders>
            <w:shd w:fill="F4F7FA" w:val="clear"/>
            <w:tcMar>
              <w:top w:type="dxa" w:w="160"/>
              <w:left w:type="dxa" w:w="200"/>
              <w:bottom w:type="dxa" w:w="160"/>
              <w:right w:type="dxa" w:w="200"/>
            </w:tcMar>
          </w:tcPr>
          <w:p>
            <w:r>
              <w:rPr>
                <w:rFonts w:ascii="Calibri" w:cs="Calibri" w:eastAsia="Calibri" w:hAnsi="Calibri"/>
                <w:b/>
                <w:bCs/>
                <w:color w:val="0B1E38"/>
                <w:sz w:val="22"/>
                <w:szCs w:val="22"/>
              </w:rPr>
              <w:t xml:space="preserve">What This Document Covers</w:t>
            </w:r>
          </w:p>
          <w:p>
            <w:pPr>
              <w:spacing w:before="60" w:after="0"/>
            </w:pPr>
            <w:r>
              <w:t xml:space="preserve"/>
            </w:r>
          </w:p>
          <w:p>
            <w:pPr>
              <w:pStyle w:val="ListParagraph"/>
              <w:numPr>
                <w:ilvl w:val="0"/>
                <w:numId w:val="2"/>
              </w:numPr>
              <w:spacing w:before="50" w:after="50"/>
            </w:pPr>
            <w:r>
              <w:rPr>
                <w:rFonts w:ascii="Calibri" w:cs="Calibri" w:eastAsia="Calibri" w:hAnsi="Calibri"/>
                <w:color w:val="1E2938"/>
                <w:sz w:val="21"/>
                <w:szCs w:val="21"/>
              </w:rPr>
              <w:t xml:space="preserve">Every field, data point, and configuration option in the Trainer Profile Management system</w:t>
            </w:r>
          </w:p>
          <w:p>
            <w:pPr>
              <w:pStyle w:val="ListParagraph"/>
              <w:numPr>
                <w:ilvl w:val="0"/>
                <w:numId w:val="2"/>
              </w:numPr>
              <w:spacing w:before="50" w:after="50"/>
            </w:pPr>
            <w:r>
              <w:rPr>
                <w:rFonts w:ascii="Calibri" w:cs="Calibri" w:eastAsia="Calibri" w:hAnsi="Calibri"/>
                <w:color w:val="1E2938"/>
                <w:sz w:val="21"/>
                <w:szCs w:val="21"/>
              </w:rPr>
              <w:t xml:space="preserve">How each profile element is displayed to recruiters, institutes, students, and parents</w:t>
            </w:r>
          </w:p>
          <w:p>
            <w:pPr>
              <w:pStyle w:val="ListParagraph"/>
              <w:numPr>
                <w:ilvl w:val="0"/>
                <w:numId w:val="2"/>
              </w:numPr>
              <w:spacing w:before="50" w:after="50"/>
            </w:pPr>
            <w:r>
              <w:rPr>
                <w:rFonts w:ascii="Calibri" w:cs="Calibri" w:eastAsia="Calibri" w:hAnsi="Calibri"/>
                <w:color w:val="1E2938"/>
                <w:sz w:val="21"/>
                <w:szCs w:val="21"/>
              </w:rPr>
              <w:t xml:space="preserve">The business logic behind profile scoring, visibility rules, and discoverability</w:t>
            </w:r>
          </w:p>
          <w:p>
            <w:pPr>
              <w:pStyle w:val="ListParagraph"/>
              <w:numPr>
                <w:ilvl w:val="0"/>
                <w:numId w:val="2"/>
              </w:numPr>
              <w:spacing w:before="50" w:after="50"/>
            </w:pPr>
            <w:r>
              <w:rPr>
                <w:rFonts w:ascii="Calibri" w:cs="Calibri" w:eastAsia="Calibri" w:hAnsi="Calibri"/>
                <w:color w:val="1E2938"/>
                <w:sz w:val="21"/>
                <w:szCs w:val="21"/>
              </w:rPr>
              <w:t xml:space="preserve">How the profile integrates with the Verification, Marketplace, and Booking systems</w:t>
            </w:r>
          </w:p>
          <w:p>
            <w:pPr>
              <w:pStyle w:val="ListParagraph"/>
              <w:numPr>
                <w:ilvl w:val="0"/>
                <w:numId w:val="2"/>
              </w:numPr>
              <w:spacing w:before="50" w:after="50"/>
            </w:pPr>
            <w:r>
              <w:rPr>
                <w:rFonts w:ascii="Calibri" w:cs="Calibri" w:eastAsia="Calibri" w:hAnsi="Calibri"/>
                <w:color w:val="1E2938"/>
                <w:sz w:val="21"/>
                <w:szCs w:val="21"/>
              </w:rPr>
              <w:t xml:space="preserve">Competitive design analysis: what ECOSKILLER's trainer profile does that no current platform offers</w:t>
            </w:r>
          </w:p>
        </w:tc>
        <w:tc>
          <w:tcPr>
            <w:tcW w:type="dxa" w:w="4680"/>
            <w:tcBorders>
              <w:top w:val="single" w:color="C3C8D3" w:sz="1"/>
              <w:left w:val="single" w:color="C3C8D3" w:sz="1"/>
              <w:bottom w:val="single" w:color="C3C8D3" w:sz="1"/>
              <w:right w:val="single" w:color="C3C8D3" w:sz="1"/>
            </w:tcBorders>
            <w:shd w:fill="F4F7FA" w:val="clear"/>
            <w:tcMar>
              <w:top w:type="dxa" w:w="160"/>
              <w:left w:type="dxa" w:w="200"/>
              <w:bottom w:type="dxa" w:w="160"/>
              <w:right w:type="dxa" w:w="200"/>
            </w:tcMar>
          </w:tcPr>
          <w:p>
            <w:r>
              <w:rPr>
                <w:rFonts w:ascii="Calibri" w:cs="Calibri" w:eastAsia="Calibri" w:hAnsi="Calibri"/>
                <w:b/>
                <w:bCs/>
                <w:color w:val="0B1E38"/>
                <w:sz w:val="22"/>
                <w:szCs w:val="22"/>
              </w:rPr>
              <w:t xml:space="preserve">Why Profile Management is Critical</w:t>
            </w:r>
          </w:p>
          <w:p>
            <w:pPr>
              <w:spacing w:before="60" w:after="0"/>
            </w:pPr>
            <w:r>
              <w:t xml:space="preserve"/>
            </w:r>
          </w:p>
          <w:p>
            <w:pPr>
              <w:pStyle w:val="ListParagraph"/>
              <w:numPr>
                <w:ilvl w:val="0"/>
                <w:numId w:val="2"/>
              </w:numPr>
              <w:spacing w:before="50" w:after="50"/>
            </w:pPr>
            <w:r>
              <w:rPr>
                <w:rFonts w:ascii="Calibri" w:cs="Calibri" w:eastAsia="Calibri" w:hAnsi="Calibri"/>
                <w:color w:val="1E2938"/>
                <w:sz w:val="21"/>
                <w:szCs w:val="21"/>
              </w:rPr>
              <w:t xml:space="preserve">The profile is a trainer's primary marketplace asset — it determines whether institutes book them or skip them</w:t>
            </w:r>
          </w:p>
          <w:p>
            <w:pPr>
              <w:pStyle w:val="ListParagraph"/>
              <w:numPr>
                <w:ilvl w:val="0"/>
                <w:numId w:val="2"/>
              </w:numPr>
              <w:spacing w:before="50" w:after="50"/>
            </w:pPr>
            <w:r>
              <w:rPr>
                <w:rFonts w:ascii="Calibri" w:cs="Calibri" w:eastAsia="Calibri" w:hAnsi="Calibri"/>
                <w:color w:val="1E2938"/>
                <w:sz w:val="21"/>
                <w:szCs w:val="21"/>
              </w:rPr>
              <w:t xml:space="preserve">A poorly designed profile system leads to information asymmetry: institutes cannot compare trainers fairly</w:t>
            </w:r>
          </w:p>
          <w:p>
            <w:pPr>
              <w:pStyle w:val="ListParagraph"/>
              <w:numPr>
                <w:ilvl w:val="0"/>
                <w:numId w:val="2"/>
              </w:numPr>
              <w:spacing w:before="50" w:after="50"/>
            </w:pPr>
            <w:r>
              <w:rPr>
                <w:rFonts w:ascii="Calibri" w:cs="Calibri" w:eastAsia="Calibri" w:hAnsi="Calibri"/>
                <w:color w:val="1E2938"/>
                <w:sz w:val="21"/>
                <w:szCs w:val="21"/>
              </w:rPr>
              <w:t xml:space="preserve">Profile completeness directly correlates with booking rate — every missing field is a lost opportunity</w:t>
            </w:r>
          </w:p>
          <w:p>
            <w:pPr>
              <w:pStyle w:val="ListParagraph"/>
              <w:numPr>
                <w:ilvl w:val="0"/>
                <w:numId w:val="2"/>
              </w:numPr>
              <w:spacing w:before="50" w:after="50"/>
            </w:pPr>
            <w:r>
              <w:rPr>
                <w:rFonts w:ascii="Calibri" w:cs="Calibri" w:eastAsia="Calibri" w:hAnsi="Calibri"/>
                <w:color w:val="1E2938"/>
                <w:sz w:val="21"/>
                <w:szCs w:val="21"/>
              </w:rPr>
              <w:t xml:space="preserve">The profile is also a trust instrument: verified data fields signal credibility; unverified fields signal risk</w:t>
            </w:r>
          </w:p>
          <w:p>
            <w:pPr>
              <w:pStyle w:val="ListParagraph"/>
              <w:numPr>
                <w:ilvl w:val="0"/>
                <w:numId w:val="2"/>
              </w:numPr>
              <w:spacing w:before="50" w:after="50"/>
            </w:pPr>
            <w:r>
              <w:rPr>
                <w:rFonts w:ascii="Calibri" w:cs="Calibri" w:eastAsia="Calibri" w:hAnsi="Calibri"/>
                <w:color w:val="1E2938"/>
                <w:sz w:val="21"/>
                <w:szCs w:val="21"/>
              </w:rPr>
              <w:t xml:space="preserve">ECOSKILLER's competitive advantage is a profile system that is richer, more verified, and more actionable than any competitor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0B1E38" w:val="clear"/>
            <w:tcMar>
              <w:top w:type="dxa" w:w="200"/>
              <w:left w:type="dxa" w:w="100"/>
              <w:bottom w:type="dxa" w:w="200"/>
              <w:right w:type="dxa" w:w="100"/>
            </w:tcMar>
            <w:vAlign w:val="center"/>
          </w:tcPr>
          <w:p>
            <w:pPr>
              <w:jc w:val="center"/>
            </w:pPr>
            <w:r>
              <w:rPr>
                <w:rFonts w:ascii="Calibri" w:cs="Calibri" w:eastAsia="Calibri" w:hAnsi="Calibri"/>
                <w:b/>
                <w:bCs/>
                <w:color w:val="E6B000"/>
                <w:sz w:val="54"/>
                <w:szCs w:val="54"/>
              </w:rPr>
              <w:t xml:space="preserve">F1</w:t>
            </w:r>
          </w:p>
        </w:tc>
        <w:tc>
          <w:tcPr>
            <w:tcW w:type="dxa" w:w="8260"/>
            <w:tcBorders>
              <w:top w:val="none" w:color="FFFFFF" w:sz="0"/>
              <w:left w:val="none" w:color="FFFFFF" w:sz="0"/>
              <w:bottom w:val="none" w:color="FFFFFF" w:sz="0"/>
              <w:right w:val="none" w:color="FFFFFF" w:sz="0"/>
            </w:tcBorders>
            <w:shd w:fill="0B1E38" w:val="clear"/>
            <w:tcMar>
              <w:top w:type="dxa" w:w="180"/>
              <w:left w:type="dxa" w:w="220"/>
              <w:bottom w:type="dxa" w:w="180"/>
              <w:right w:type="dxa" w:w="120"/>
            </w:tcMar>
          </w:tcPr>
          <w:p>
            <w:r>
              <w:rPr>
                <w:rFonts w:ascii="Calibri" w:cs="Calibri" w:eastAsia="Calibri" w:hAnsi="Calibri"/>
                <w:b/>
                <w:bCs/>
                <w:color w:val="FFFFFF"/>
                <w:sz w:val="36"/>
                <w:szCs w:val="36"/>
              </w:rPr>
              <w:t xml:space="preserve">Trainer Professional Profile</w:t>
            </w:r>
          </w:p>
          <w:p>
            <w:pPr>
              <w:spacing w:before="30" w:after="0"/>
            </w:pPr>
            <w:r>
              <w:rPr>
                <w:rFonts w:ascii="Calibri" w:cs="Calibri" w:eastAsia="Calibri" w:hAnsi="Calibri"/>
                <w:i/>
                <w:iCs/>
                <w:color w:val="CCDAEE"/>
                <w:sz w:val="19"/>
                <w:szCs w:val="19"/>
              </w:rPr>
              <w:t xml:space="preserve">The master identity card — the first thing every institute, company, and student sees when they discover a trainer</w:t>
            </w:r>
          </w:p>
        </w:tc>
      </w:tr>
    </w:tbl>
    <w:p>
      <w:pPr>
        <w:spacing w:before="120" w:after="0"/>
      </w:pPr>
      <w:r>
        <w:t xml:space="preserve"/>
      </w:r>
    </w:p>
    <w:p>
      <w:pPr>
        <w:spacing w:before="340" w:after="150"/>
      </w:pPr>
      <w:r>
        <w:rPr>
          <w:rFonts w:ascii="Calibri" w:cs="Calibri" w:eastAsia="Calibri" w:hAnsi="Calibri"/>
          <w:b/>
          <w:bCs/>
          <w:color w:val="0B1E38"/>
          <w:sz w:val="42"/>
          <w:szCs w:val="42"/>
        </w:rPr>
        <w:t xml:space="preserve">Feature 1: Trainer Professional Profile</w:t>
      </w:r>
    </w:p>
    <w:p>
      <w:pPr>
        <w:pBdr>
          <w:bottom w:val="single" w:color="9C5500" w:sz="8"/>
        </w:pBdr>
        <w:spacing w:before="80" w:after="80"/>
      </w:pPr>
      <w:r>
        <w:t xml:space="preserve"/>
      </w:r>
    </w:p>
    <w:p>
      <w:pPr>
        <w:spacing w:before="60" w:after="60"/>
      </w:pPr>
      <w:r>
        <w:rPr>
          <w:rFonts w:ascii="Calibri" w:cs="Calibri" w:eastAsia="Calibri" w:hAnsi="Calibri"/>
          <w:b w:val="false"/>
          <w:bCs w:val="false"/>
          <w:i w:val="false"/>
          <w:iCs w:val="false"/>
          <w:color w:val="1E2938"/>
          <w:sz w:val="21"/>
          <w:szCs w:val="21"/>
        </w:rPr>
        <w:t xml:space="preserve">The Trainer Professional Profile is the primary public-facing identity document for every trainer on the ECOSKILLER marketplace. It serves simultaneously as a resume, a trust certificate, a service catalog, and a booking entry point. Unlike a LinkedIn profile (self-declared) or a resume (unverified), the ECOSKILLER trainer profile integrates verification badges, real rating data, booking history, and AI-generated profile quality scores into a single, structured view.</w:t>
      </w:r>
    </w:p>
    <w:p>
      <w:pPr>
        <w:spacing w:before="80" w:after="0"/>
      </w:pPr>
      <w:r>
        <w:t xml:space="preserve"/>
      </w:r>
    </w:p>
    <w:p>
      <w:pPr>
        <w:spacing w:before="260" w:after="110"/>
      </w:pPr>
      <w:r>
        <w:rPr>
          <w:rFonts w:ascii="Calibri" w:cs="Calibri" w:eastAsia="Calibri" w:hAnsi="Calibri"/>
          <w:b/>
          <w:bCs/>
          <w:color w:val="9C5500"/>
          <w:sz w:val="31"/>
          <w:szCs w:val="31"/>
        </w:rPr>
        <w:t xml:space="preserve">1.1 Profile Identity Card — All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3C8D3" w:sz="1"/>
              <w:left w:val="single" w:color="C3C8D3" w:sz="1"/>
              <w:bottom w:val="single" w:color="C3C8D3" w:sz="1"/>
              <w:right w:val="single" w:color="C3C8D3" w:sz="1"/>
            </w:tcBorders>
            <w:shd w:fill="0B1E38" w:val="clear"/>
            <w:tcMar>
              <w:top w:type="dxa" w:w="110"/>
              <w:left w:type="dxa" w:w="140"/>
              <w:bottom w:type="dxa" w:w="110"/>
              <w:right w:type="dxa" w:w="140"/>
            </w:tcMar>
          </w:tcPr>
          <w:p>
            <w:pPr>
              <w:jc w:val="center"/>
            </w:pPr>
            <w:r>
              <w:rPr>
                <w:rFonts w:ascii="Calibri" w:cs="Calibri" w:eastAsia="Calibri" w:hAnsi="Calibri"/>
                <w:b/>
                <w:bCs/>
                <w:color w:val="FFFFFF"/>
                <w:sz w:val="19"/>
                <w:szCs w:val="19"/>
              </w:rPr>
              <w:t xml:space="preserve">Field / Element</w:t>
            </w:r>
          </w:p>
        </w:tc>
        <w:tc>
          <w:tcPr>
            <w:tcW w:type="dxa" w:w="2600"/>
            <w:tcBorders>
              <w:top w:val="single" w:color="C3C8D3" w:sz="1"/>
              <w:left w:val="single" w:color="C3C8D3" w:sz="1"/>
              <w:bottom w:val="single" w:color="C3C8D3" w:sz="1"/>
              <w:right w:val="single" w:color="C3C8D3" w:sz="1"/>
            </w:tcBorders>
            <w:shd w:fill="0B1E38" w:val="clear"/>
            <w:tcMar>
              <w:top w:type="dxa" w:w="110"/>
              <w:left w:type="dxa" w:w="140"/>
              <w:bottom w:type="dxa" w:w="110"/>
              <w:right w:type="dxa" w:w="140"/>
            </w:tcMar>
          </w:tcPr>
          <w:p>
            <w:pPr>
              <w:jc w:val="center"/>
            </w:pPr>
            <w:r>
              <w:rPr>
                <w:rFonts w:ascii="Calibri" w:cs="Calibri" w:eastAsia="Calibri" w:hAnsi="Calibri"/>
                <w:b/>
                <w:bCs/>
                <w:color w:val="FFFFFF"/>
                <w:sz w:val="19"/>
                <w:szCs w:val="19"/>
              </w:rPr>
              <w:t xml:space="preserve">Data Type &amp; Constraints</w:t>
            </w:r>
          </w:p>
        </w:tc>
        <w:tc>
          <w:tcPr>
            <w:tcW w:type="dxa" w:w="4560"/>
            <w:tcBorders>
              <w:top w:val="single" w:color="C3C8D3" w:sz="1"/>
              <w:left w:val="single" w:color="C3C8D3" w:sz="1"/>
              <w:bottom w:val="single" w:color="C3C8D3" w:sz="1"/>
              <w:right w:val="single" w:color="C3C8D3" w:sz="1"/>
            </w:tcBorders>
            <w:shd w:fill="0B1E38" w:val="clear"/>
            <w:tcMar>
              <w:top w:type="dxa" w:w="110"/>
              <w:left w:type="dxa" w:w="140"/>
              <w:bottom w:type="dxa" w:w="110"/>
              <w:right w:type="dxa" w:w="140"/>
            </w:tcMar>
          </w:tcPr>
          <w:p>
            <w:pPr>
              <w:jc w:val="center"/>
            </w:pPr>
            <w:r>
              <w:rPr>
                <w:rFonts w:ascii="Calibri" w:cs="Calibri" w:eastAsia="Calibri" w:hAnsi="Calibri"/>
                <w:b/>
                <w:bCs/>
                <w:color w:val="FFFFFF"/>
                <w:sz w:val="19"/>
                <w:szCs w:val="19"/>
              </w:rPr>
              <w:t xml:space="preserve">Purpose &amp; Business Logic</w:t>
            </w:r>
          </w:p>
        </w:tc>
      </w:tr>
      <w:tr>
        <w:tc>
          <w:tcPr>
            <w:tcW w:type="dxa" w:w="22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bCs/>
                <w:color w:val="0B1E38"/>
                <w:sz w:val="19"/>
                <w:szCs w:val="19"/>
              </w:rPr>
              <w:t xml:space="preserve">Full Name</w:t>
            </w:r>
          </w:p>
        </w:tc>
        <w:tc>
          <w:tcPr>
            <w:tcW w:type="dxa" w:w="26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Legal name (from KYC-verified ID). Non-editable after KYC approval. Display name option: nickname allowed but legal name shown on certificates.</w:t>
            </w:r>
          </w:p>
        </w:tc>
        <w:tc>
          <w:tcPr>
            <w:tcW w:type="dxa" w:w="456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Name on all certificates, offer letters, and official platform communications must match verified name. Prevents identity fraud.</w:t>
            </w:r>
          </w:p>
        </w:tc>
      </w:tr>
      <w:tr>
        <w:tc>
          <w:tcPr>
            <w:tcW w:type="dxa" w:w="22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bCs/>
                <w:color w:val="0B1E38"/>
                <w:sz w:val="19"/>
                <w:szCs w:val="19"/>
              </w:rPr>
              <w:t xml:space="preserve">Professional Headline</w:t>
            </w:r>
          </w:p>
        </w:tc>
        <w:tc>
          <w:tcPr>
            <w:tcW w:type="dxa" w:w="26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Text field, max 120 characters. Example: "Senior Manufacturing Trainer | Six Sigma BB | 14 Years at Tata Motors &amp; Bosch"</w:t>
            </w:r>
          </w:p>
        </w:tc>
        <w:tc>
          <w:tcPr>
            <w:tcW w:type="dxa" w:w="456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Primary descriptor shown in search results and marketplace cards. AI suggests headline based on verified experience and certifications. Trainer can edit but cannot misrepresent.</w:t>
            </w:r>
          </w:p>
        </w:tc>
      </w:tr>
      <w:tr>
        <w:tc>
          <w:tcPr>
            <w:tcW w:type="dxa" w:w="22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bCs/>
                <w:color w:val="0B1E38"/>
                <w:sz w:val="19"/>
                <w:szCs w:val="19"/>
              </w:rPr>
              <w:t xml:space="preserve">Profile Photo</w:t>
            </w:r>
          </w:p>
        </w:tc>
        <w:tc>
          <w:tcPr>
            <w:tcW w:type="dxa" w:w="26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High-res JPEG/PNG, min 400×400px, max 5MB. Face must occupy 60%+ of frame. No logos, text overlays, or group photos. Face detected and validated by AI.</w:t>
            </w:r>
          </w:p>
        </w:tc>
        <w:tc>
          <w:tcPr>
            <w:tcW w:type="dxa" w:w="456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Shown in marketplace listing, booking confirmation, student visit app, and parent notification. Professional photo increases booking inquiry rate by 40% (platform benchmark).</w:t>
            </w:r>
          </w:p>
        </w:tc>
      </w:tr>
      <w:tr>
        <w:tc>
          <w:tcPr>
            <w:tcW w:type="dxa" w:w="22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bCs/>
                <w:color w:val="0B1E38"/>
                <w:sz w:val="19"/>
                <w:szCs w:val="19"/>
              </w:rPr>
              <w:t xml:space="preserve">Cover Image / Banner</w:t>
            </w:r>
          </w:p>
        </w:tc>
        <w:tc>
          <w:tcPr>
            <w:tcW w:type="dxa" w:w="26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Landscape image, 1200×300px. Optional. Trainer can upload a domain-relevant banner: lab, classroom, factory floor. Or use a platform-generated default based on primary domain.</w:t>
            </w:r>
          </w:p>
        </w:tc>
        <w:tc>
          <w:tcPr>
            <w:tcW w:type="dxa" w:w="456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Background branding for the profile page. Communicates domain context at a glance. Replaced by a platform-default if not uploaded.</w:t>
            </w:r>
          </w:p>
        </w:tc>
      </w:tr>
      <w:tr>
        <w:tc>
          <w:tcPr>
            <w:tcW w:type="dxa" w:w="22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bCs/>
                <w:color w:val="0B1E38"/>
                <w:sz w:val="19"/>
                <w:szCs w:val="19"/>
              </w:rPr>
              <w:t xml:space="preserve">City &amp; State</w:t>
            </w:r>
          </w:p>
        </w:tc>
        <w:tc>
          <w:tcPr>
            <w:tcW w:type="dxa" w:w="26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City search with geolocation validation. State auto-filled. Optional: willing to travel (Yes/No with radius in km).</w:t>
            </w:r>
          </w:p>
        </w:tc>
        <w:tc>
          <w:tcPr>
            <w:tcW w:type="dxa" w:w="456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Used for location-based trainer search and distance filtering by institutes. Travel willingness unlocks national search visibility.</w:t>
            </w:r>
          </w:p>
        </w:tc>
      </w:tr>
      <w:tr>
        <w:tc>
          <w:tcPr>
            <w:tcW w:type="dxa" w:w="22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bCs/>
                <w:color w:val="0B1E38"/>
                <w:sz w:val="19"/>
                <w:szCs w:val="19"/>
              </w:rPr>
              <w:t xml:space="preserve">Professional Tagline</w:t>
            </w:r>
          </w:p>
        </w:tc>
        <w:tc>
          <w:tcPr>
            <w:tcW w:type="dxa" w:w="26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150 characters max. A one-sentence value proposition: "I help engineering students understand manufacturing systems through real shop-floor experience — not textbooks."</w:t>
            </w:r>
          </w:p>
        </w:tc>
        <w:tc>
          <w:tcPr>
            <w:tcW w:type="dxa" w:w="456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Displayed below the headline on the full profile page. Differentiates the trainer's style and philosophy. Optional but strongly recommended.</w:t>
            </w:r>
          </w:p>
        </w:tc>
      </w:tr>
      <w:tr>
        <w:tc>
          <w:tcPr>
            <w:tcW w:type="dxa" w:w="22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bCs/>
                <w:color w:val="0B1E38"/>
                <w:sz w:val="19"/>
                <w:szCs w:val="19"/>
              </w:rPr>
              <w:t xml:space="preserve">Current Status</w:t>
            </w:r>
          </w:p>
        </w:tc>
        <w:tc>
          <w:tcPr>
            <w:tcW w:type="dxa" w:w="26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Radio select: Actively Taking Bookings / Limited Availability / On Break / Not Taking New Bookings. With optional short note.</w:t>
            </w:r>
          </w:p>
        </w:tc>
        <w:tc>
          <w:tcPr>
            <w:tcW w:type="dxa" w:w="456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Shown prominently on profile. Prevents booking frustration. Institutes filter by "Actively Taking Bookings" before initiating contact.</w:t>
            </w:r>
          </w:p>
        </w:tc>
      </w:tr>
      <w:tr>
        <w:tc>
          <w:tcPr>
            <w:tcW w:type="dxa" w:w="22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bCs/>
                <w:color w:val="0B1E38"/>
                <w:sz w:val="19"/>
                <w:szCs w:val="19"/>
              </w:rPr>
              <w:t xml:space="preserve">Languages</w:t>
            </w:r>
          </w:p>
        </w:tc>
        <w:tc>
          <w:tcPr>
            <w:tcW w:type="dxa" w:w="26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Multi-select. Primary language + secondary. Select from 22 languages. Proficiency level: Native / Fluent / Conversational.</w:t>
            </w:r>
          </w:p>
        </w:tc>
        <w:tc>
          <w:tcPr>
            <w:tcW w:type="dxa" w:w="456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Institutes match language to student cohort needs. Critical for regional institutes where Hindi, Tamil, Telugu, or other languages are preferred.</w:t>
            </w:r>
          </w:p>
        </w:tc>
      </w:tr>
      <w:tr>
        <w:tc>
          <w:tcPr>
            <w:tcW w:type="dxa" w:w="22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bCs/>
                <w:color w:val="0B1E38"/>
                <w:sz w:val="19"/>
                <w:szCs w:val="19"/>
              </w:rPr>
              <w:t xml:space="preserve">Platform Tenure</w:t>
            </w:r>
          </w:p>
        </w:tc>
        <w:tc>
          <w:tcPr>
            <w:tcW w:type="dxa" w:w="26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Auto-generated. Shows: "Member since [Month Year]" and total completed visits on platform.</w:t>
            </w:r>
          </w:p>
        </w:tc>
        <w:tc>
          <w:tcPr>
            <w:tcW w:type="dxa" w:w="456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Trust signal. Long-tenured trainers with high visit counts are preferred for high-value institute partnerships.</w:t>
            </w:r>
          </w:p>
        </w:tc>
      </w:tr>
      <w:tr>
        <w:tc>
          <w:tcPr>
            <w:tcW w:type="dxa" w:w="22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bCs/>
                <w:color w:val="0B1E38"/>
                <w:sz w:val="19"/>
                <w:szCs w:val="19"/>
              </w:rPr>
              <w:t xml:space="preserve">Verification Badge Display</w:t>
            </w:r>
          </w:p>
        </w:tc>
        <w:tc>
          <w:tcPr>
            <w:tcW w:type="dxa" w:w="26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System-rendered. Shows current verification tier (Silver/Blue/Gold/Platinum/Diamond) and specialist domain badges. Not trainer-editable.</w:t>
            </w:r>
          </w:p>
        </w:tc>
        <w:tc>
          <w:tcPr>
            <w:tcW w:type="dxa" w:w="456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First visual trust signal on any profile view. Badge tier correlates directly with institute booking confidence and platform search ranking.</w:t>
            </w:r>
          </w:p>
        </w:tc>
      </w:tr>
      <w:tr>
        <w:tc>
          <w:tcPr>
            <w:tcW w:type="dxa" w:w="22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bCs/>
                <w:color w:val="0B1E38"/>
                <w:sz w:val="19"/>
                <w:szCs w:val="19"/>
              </w:rPr>
              <w:t xml:space="preserve">Profile Quality Score</w:t>
            </w:r>
          </w:p>
        </w:tc>
        <w:tc>
          <w:tcPr>
            <w:tcW w:type="dxa" w:w="26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AI-generated 0–100 score. Shown to the trainer privately (not public). Breakdown: completeness, verification depth, media quality, rating, and activity.</w:t>
            </w:r>
          </w:p>
        </w:tc>
        <w:tc>
          <w:tcPr>
            <w:tcW w:type="dxa" w:w="456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Motivates profile completion. Trainers with score 85+ appear in "Featured Trainers" carousel on institute dashboards.</w:t>
            </w:r>
          </w:p>
        </w:tc>
      </w:tr>
      <w:tr>
        <w:tc>
          <w:tcPr>
            <w:tcW w:type="dxa" w:w="22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bCs/>
                <w:color w:val="0B1E38"/>
                <w:sz w:val="19"/>
                <w:szCs w:val="19"/>
              </w:rPr>
              <w:t xml:space="preserve">Trainer ID</w:t>
            </w:r>
          </w:p>
        </w:tc>
        <w:tc>
          <w:tcPr>
            <w:tcW w:type="dxa" w:w="26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System-generated alphanumeric ID. Permanent. Shown on certificates, invoices, and all official communications.</w:t>
            </w:r>
          </w:p>
        </w:tc>
        <w:tc>
          <w:tcPr>
            <w:tcW w:type="dxa" w:w="456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Unique identifier for all platform records. Used by institutes for offline reference. QR code generated from this ID links to live profile.</w:t>
            </w:r>
          </w:p>
        </w:tc>
      </w:tr>
    </w:tbl>
    <w:p>
      <w:pPr>
        <w:spacing w:before="100" w:after="0"/>
      </w:pPr>
      <w:r>
        <w:t xml:space="preserve"/>
      </w:r>
    </w:p>
    <w:p>
      <w:pPr>
        <w:spacing w:before="260" w:after="110"/>
      </w:pPr>
      <w:r>
        <w:rPr>
          <w:rFonts w:ascii="Calibri" w:cs="Calibri" w:eastAsia="Calibri" w:hAnsi="Calibri"/>
          <w:b/>
          <w:bCs/>
          <w:color w:val="9C5500"/>
          <w:sz w:val="31"/>
          <w:szCs w:val="31"/>
        </w:rPr>
        <w:t xml:space="preserve">1.2 Profile Sections Architecture</w:t>
      </w:r>
    </w:p>
    <w:p>
      <w:pPr>
        <w:spacing w:before="60" w:after="60"/>
      </w:pPr>
      <w:r>
        <w:rPr>
          <w:rFonts w:ascii="Calibri" w:cs="Calibri" w:eastAsia="Calibri" w:hAnsi="Calibri"/>
          <w:b w:val="false"/>
          <w:bCs w:val="false"/>
          <w:i w:val="false"/>
          <w:iCs w:val="false"/>
          <w:color w:val="1E2938"/>
          <w:sz w:val="21"/>
          <w:szCs w:val="21"/>
        </w:rPr>
        <w:t xml:space="preserve">The full trainer profile is organized into 7 distinct sections visible to different audiences: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3C8D3" w:sz="1"/>
              <w:left w:val="single" w:color="C3C8D3" w:sz="1"/>
              <w:bottom w:val="single" w:color="C3C8D3" w:sz="1"/>
              <w:right w:val="single" w:color="C3C8D3" w:sz="1"/>
            </w:tcBorders>
            <w:shd w:fill="0B1E38" w:val="clear"/>
            <w:tcMar>
              <w:top w:type="dxa" w:w="110"/>
              <w:left w:type="dxa" w:w="140"/>
              <w:bottom w:type="dxa" w:w="110"/>
              <w:right w:type="dxa" w:w="140"/>
            </w:tcMar>
          </w:tcPr>
          <w:p>
            <w:pPr>
              <w:jc w:val="center"/>
            </w:pPr>
            <w:r>
              <w:rPr>
                <w:rFonts w:ascii="Calibri" w:cs="Calibri" w:eastAsia="Calibri" w:hAnsi="Calibri"/>
                <w:b/>
                <w:bCs/>
                <w:color w:val="FFFFFF"/>
                <w:sz w:val="20"/>
                <w:szCs w:val="20"/>
              </w:rPr>
              <w:t xml:space="preserve">Section Name</w:t>
            </w:r>
          </w:p>
        </w:tc>
        <w:tc>
          <w:tcPr>
            <w:tcW w:type="dxa" w:w="2600"/>
            <w:tcBorders>
              <w:top w:val="single" w:color="C3C8D3" w:sz="1"/>
              <w:left w:val="single" w:color="C3C8D3" w:sz="1"/>
              <w:bottom w:val="single" w:color="C3C8D3" w:sz="1"/>
              <w:right w:val="single" w:color="C3C8D3" w:sz="1"/>
            </w:tcBorders>
            <w:shd w:fill="0B1E38" w:val="clear"/>
            <w:tcMar>
              <w:top w:type="dxa" w:w="110"/>
              <w:left w:type="dxa" w:w="140"/>
              <w:bottom w:type="dxa" w:w="110"/>
              <w:right w:type="dxa" w:w="140"/>
            </w:tcMar>
          </w:tcPr>
          <w:p>
            <w:pPr>
              <w:jc w:val="center"/>
            </w:pPr>
            <w:r>
              <w:rPr>
                <w:rFonts w:ascii="Calibri" w:cs="Calibri" w:eastAsia="Calibri" w:hAnsi="Calibri"/>
                <w:b/>
                <w:bCs/>
                <w:color w:val="FFFFFF"/>
                <w:sz w:val="20"/>
                <w:szCs w:val="20"/>
              </w:rPr>
              <w:t xml:space="preserve">Visible To</w:t>
            </w:r>
          </w:p>
        </w:tc>
        <w:tc>
          <w:tcPr>
            <w:tcW w:type="dxa" w:w="4160"/>
            <w:tcBorders>
              <w:top w:val="single" w:color="C3C8D3" w:sz="1"/>
              <w:left w:val="single" w:color="C3C8D3" w:sz="1"/>
              <w:bottom w:val="single" w:color="C3C8D3" w:sz="1"/>
              <w:right w:val="single" w:color="C3C8D3" w:sz="1"/>
            </w:tcBorders>
            <w:shd w:fill="0B1E38" w:val="clear"/>
            <w:tcMar>
              <w:top w:type="dxa" w:w="110"/>
              <w:left w:type="dxa" w:w="140"/>
              <w:bottom w:type="dxa" w:w="110"/>
              <w:right w:type="dxa" w:w="140"/>
            </w:tcMar>
          </w:tcPr>
          <w:p>
            <w:pPr>
              <w:jc w:val="center"/>
            </w:pPr>
            <w:r>
              <w:rPr>
                <w:rFonts w:ascii="Calibri" w:cs="Calibri" w:eastAsia="Calibri" w:hAnsi="Calibri"/>
                <w:b/>
                <w:bCs/>
                <w:color w:val="FFFFFF"/>
                <w:sz w:val="20"/>
                <w:szCs w:val="20"/>
              </w:rPr>
              <w:t xml:space="preserve">Key Content</w:t>
            </w:r>
          </w:p>
        </w:tc>
      </w:tr>
      <w:tr>
        <w:tc>
          <w:tcPr>
            <w:tcW w:type="dxa" w:w="260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bCs/>
                <w:color w:val="0B1E38"/>
                <w:sz w:val="20"/>
                <w:szCs w:val="20"/>
              </w:rPr>
              <w:t xml:space="preserve">Overview / Hero Section</w:t>
            </w:r>
          </w:p>
        </w:tc>
        <w:tc>
          <w:tcPr>
            <w:tcW w:type="dxa" w:w="260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Public (all audiences)</w:t>
            </w:r>
          </w:p>
        </w:tc>
        <w:tc>
          <w:tcPr>
            <w:tcW w:type="dxa" w:w="416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Photo, name, headline, tagline, domain badges, rating, and booking CTA button</w:t>
            </w:r>
          </w:p>
        </w:tc>
      </w:tr>
      <w:tr>
        <w:tc>
          <w:tcPr>
            <w:tcW w:type="dxa" w:w="260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bCs/>
                <w:color w:val="0B1E38"/>
                <w:sz w:val="20"/>
                <w:szCs w:val="20"/>
              </w:rPr>
              <w:t xml:space="preserve">Domain &amp; Skills</w:t>
            </w:r>
          </w:p>
        </w:tc>
        <w:tc>
          <w:tcPr>
            <w:tcW w:type="dxa" w:w="260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Public (all audiences)</w:t>
            </w:r>
          </w:p>
        </w:tc>
        <w:tc>
          <w:tcPr>
            <w:tcW w:type="dxa" w:w="416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Domain tags, skill clusters, tool stack, and industry vertical tags</w:t>
            </w:r>
          </w:p>
        </w:tc>
      </w:tr>
      <w:tr>
        <w:tc>
          <w:tcPr>
            <w:tcW w:type="dxa" w:w="260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bCs/>
                <w:color w:val="0B1E38"/>
                <w:sz w:val="20"/>
                <w:szCs w:val="20"/>
              </w:rPr>
              <w:t xml:space="preserve">Experience Timeline</w:t>
            </w:r>
          </w:p>
        </w:tc>
        <w:tc>
          <w:tcPr>
            <w:tcW w:type="dxa" w:w="260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Public (all audiences)</w:t>
            </w:r>
          </w:p>
        </w:tc>
        <w:tc>
          <w:tcPr>
            <w:tcW w:type="dxa" w:w="416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Work history, role titles, companies, and date ranges (verified entries marked)</w:t>
            </w:r>
          </w:p>
        </w:tc>
      </w:tr>
      <w:tr>
        <w:tc>
          <w:tcPr>
            <w:tcW w:type="dxa" w:w="260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bCs/>
                <w:color w:val="0B1E38"/>
                <w:sz w:val="20"/>
                <w:szCs w:val="20"/>
              </w:rPr>
              <w:t xml:space="preserve">Certifications</w:t>
            </w:r>
          </w:p>
        </w:tc>
        <w:tc>
          <w:tcPr>
            <w:tcW w:type="dxa" w:w="260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Public (all audiences)</w:t>
            </w:r>
          </w:p>
        </w:tc>
        <w:tc>
          <w:tcPr>
            <w:tcW w:type="dxa" w:w="416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Certification cards with verification status, badge, issuer, and expiry</w:t>
            </w:r>
          </w:p>
        </w:tc>
      </w:tr>
      <w:tr>
        <w:tc>
          <w:tcPr>
            <w:tcW w:type="dxa" w:w="260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bCs/>
                <w:color w:val="0B1E38"/>
                <w:sz w:val="20"/>
                <w:szCs w:val="20"/>
              </w:rPr>
              <w:t xml:space="preserve">Portfolio &amp; Media</w:t>
            </w:r>
          </w:p>
        </w:tc>
        <w:tc>
          <w:tcPr>
            <w:tcW w:type="dxa" w:w="260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Public (all audiences)</w:t>
            </w:r>
          </w:p>
        </w:tc>
        <w:tc>
          <w:tcPr>
            <w:tcW w:type="dxa" w:w="416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Project showcase, visit photos/videos, knowledge articles, and sample content</w:t>
            </w:r>
          </w:p>
        </w:tc>
      </w:tr>
      <w:tr>
        <w:tc>
          <w:tcPr>
            <w:tcW w:type="dxa" w:w="260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bCs/>
                <w:color w:val="0B1E38"/>
                <w:sz w:val="20"/>
                <w:szCs w:val="20"/>
              </w:rPr>
              <w:t xml:space="preserve">Reviews &amp; Ratings</w:t>
            </w:r>
          </w:p>
        </w:tc>
        <w:tc>
          <w:tcPr>
            <w:tcW w:type="dxa" w:w="260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Public (all audiences)</w:t>
            </w:r>
          </w:p>
        </w:tc>
        <w:tc>
          <w:tcPr>
            <w:tcW w:type="dxa" w:w="416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Aggregate rating, written reviews from institutes and students, response rate</w:t>
            </w:r>
          </w:p>
        </w:tc>
      </w:tr>
      <w:tr>
        <w:tc>
          <w:tcPr>
            <w:tcW w:type="dxa" w:w="260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bCs/>
                <w:color w:val="0B1E38"/>
                <w:sz w:val="20"/>
                <w:szCs w:val="20"/>
              </w:rPr>
              <w:t xml:space="preserve">Contact &amp; Booking</w:t>
            </w:r>
          </w:p>
        </w:tc>
        <w:tc>
          <w:tcPr>
            <w:tcW w:type="dxa" w:w="260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Registered institutes/companies only</w:t>
            </w:r>
          </w:p>
        </w:tc>
        <w:tc>
          <w:tcPr>
            <w:tcW w:type="dxa" w:w="416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Booking calendar, contact form, and preferred contact method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0C5B70" w:val="clear"/>
            <w:tcMar>
              <w:top w:type="dxa" w:w="200"/>
              <w:left w:type="dxa" w:w="100"/>
              <w:bottom w:type="dxa" w:w="200"/>
              <w:right w:type="dxa" w:w="100"/>
            </w:tcMar>
            <w:vAlign w:val="center"/>
          </w:tcPr>
          <w:p>
            <w:pPr>
              <w:jc w:val="center"/>
            </w:pPr>
            <w:r>
              <w:rPr>
                <w:rFonts w:ascii="Calibri" w:cs="Calibri" w:eastAsia="Calibri" w:hAnsi="Calibri"/>
                <w:b/>
                <w:bCs/>
                <w:color w:val="E6B000"/>
                <w:sz w:val="54"/>
                <w:szCs w:val="54"/>
              </w:rPr>
              <w:t xml:space="preserve">F2</w:t>
            </w:r>
          </w:p>
        </w:tc>
        <w:tc>
          <w:tcPr>
            <w:tcW w:type="dxa" w:w="8260"/>
            <w:tcBorders>
              <w:top w:val="none" w:color="FFFFFF" w:sz="0"/>
              <w:left w:val="none" w:color="FFFFFF" w:sz="0"/>
              <w:bottom w:val="none" w:color="FFFFFF" w:sz="0"/>
              <w:right w:val="none" w:color="FFFFFF" w:sz="0"/>
            </w:tcBorders>
            <w:shd w:fill="0C5B70" w:val="clear"/>
            <w:tcMar>
              <w:top w:type="dxa" w:w="180"/>
              <w:left w:type="dxa" w:w="220"/>
              <w:bottom w:type="dxa" w:w="180"/>
              <w:right w:type="dxa" w:w="120"/>
            </w:tcMar>
          </w:tcPr>
          <w:p>
            <w:r>
              <w:rPr>
                <w:rFonts w:ascii="Calibri" w:cs="Calibri" w:eastAsia="Calibri" w:hAnsi="Calibri"/>
                <w:b/>
                <w:bCs/>
                <w:color w:val="FFFFFF"/>
                <w:sz w:val="36"/>
                <w:szCs w:val="36"/>
              </w:rPr>
              <w:t xml:space="preserve">Domain Specialization Listing</w:t>
            </w:r>
          </w:p>
          <w:p>
            <w:pPr>
              <w:spacing w:before="30" w:after="0"/>
            </w:pPr>
            <w:r>
              <w:rPr>
                <w:rFonts w:ascii="Calibri" w:cs="Calibri" w:eastAsia="Calibri" w:hAnsi="Calibri"/>
                <w:i/>
                <w:iCs/>
                <w:color w:val="CCDAEE"/>
                <w:sz w:val="19"/>
                <w:szCs w:val="19"/>
              </w:rPr>
              <w:t xml:space="preserve">How the trainer's expertise is categorized, verified, and displayed across the platform's 12-domain taxonomy</w:t>
            </w:r>
          </w:p>
        </w:tc>
      </w:tr>
    </w:tbl>
    <w:p>
      <w:pPr>
        <w:spacing w:before="120" w:after="0"/>
      </w:pPr>
      <w:r>
        <w:t xml:space="preserve"/>
      </w:r>
    </w:p>
    <w:p>
      <w:pPr>
        <w:spacing w:before="340" w:after="150"/>
      </w:pPr>
      <w:r>
        <w:rPr>
          <w:rFonts w:ascii="Calibri" w:cs="Calibri" w:eastAsia="Calibri" w:hAnsi="Calibri"/>
          <w:b/>
          <w:bCs/>
          <w:color w:val="0C5B70"/>
          <w:sz w:val="42"/>
          <w:szCs w:val="42"/>
        </w:rPr>
        <w:t xml:space="preserve">Feature 2: Domain Specialization Listing</w:t>
      </w:r>
    </w:p>
    <w:p>
      <w:pPr>
        <w:pBdr>
          <w:bottom w:val="single" w:color="0C5B70" w:sz="8"/>
        </w:pBdr>
        <w:spacing w:before="80" w:after="80"/>
      </w:pPr>
      <w:r>
        <w:t xml:space="preserve"/>
      </w:r>
    </w:p>
    <w:p>
      <w:pPr>
        <w:spacing w:before="60" w:after="60"/>
      </w:pPr>
      <w:r>
        <w:rPr>
          <w:rFonts w:ascii="Calibri" w:cs="Calibri" w:eastAsia="Calibri" w:hAnsi="Calibri"/>
          <w:b w:val="false"/>
          <w:bCs w:val="false"/>
          <w:i w:val="false"/>
          <w:iCs w:val="false"/>
          <w:color w:val="1E2938"/>
          <w:sz w:val="21"/>
          <w:szCs w:val="21"/>
        </w:rPr>
        <w:t xml:space="preserve">Domain Specialization Listing is the structured taxonomy that tells institutes exactly what this trainer knows and can teach — and with what level of credibility. Unlike a free-text "expertise" field, ECOSKILLER's domain system is hierarchical, verification-linked, and AI-scored. Every domain claim is one of four states: Certified, Experienced, Assessed, or Self-Declared — and these states directly affect search ranking and booking eligibility.</w:t>
      </w:r>
    </w:p>
    <w:p>
      <w:pPr>
        <w:spacing w:before="80" w:after="0"/>
      </w:pPr>
      <w:r>
        <w:t xml:space="preserve"/>
      </w:r>
    </w:p>
    <w:p>
      <w:pPr>
        <w:spacing w:before="260" w:after="110"/>
      </w:pPr>
      <w:r>
        <w:rPr>
          <w:rFonts w:ascii="Calibri" w:cs="Calibri" w:eastAsia="Calibri" w:hAnsi="Calibri"/>
          <w:b/>
          <w:bCs/>
          <w:color w:val="0C5B70"/>
          <w:sz w:val="31"/>
          <w:szCs w:val="31"/>
        </w:rPr>
        <w:t xml:space="preserve">2.1 Primary Domain — Fields &amp;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b/>
                <w:bCs/>
                <w:color w:val="0C5B70"/>
                <w:sz w:val="20"/>
                <w:szCs w:val="20"/>
              </w:rPr>
              <w:t xml:space="preserve">Primary Domain Selection</w:t>
            </w:r>
          </w:p>
        </w:tc>
        <w:tc>
          <w:tcPr>
            <w:tcW w:type="dxa" w:w="626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color w:val="1E2938"/>
                <w:sz w:val="20"/>
                <w:szCs w:val="20"/>
              </w:rPr>
              <w:t xml:space="preserve">Single-select from the platform's 12 main domains: IT &amp; Software, Manufacturing &amp; Engineering, Healthcare &amp; Life Sciences, Finance &amp; Banking, Retail &amp; E-Commerce, Media Design &amp; Creative, Agriculture &amp; Food Tech, Energy &amp; Environment, Logistics &amp; Supply Chain, Education &amp; EdTech, Government &amp; Public Sector, Legal &amp; Compliance.</w:t>
            </w:r>
          </w:p>
        </w:tc>
      </w:tr>
      <w:tr>
        <w:tc>
          <w:tcPr>
            <w:tcW w:type="dxa" w:w="310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b/>
                <w:bCs/>
                <w:color w:val="0C5B70"/>
                <w:sz w:val="20"/>
                <w:szCs w:val="20"/>
              </w:rPr>
              <w:t xml:space="preserve">Primary Domain Lock Rule</w:t>
            </w:r>
          </w:p>
        </w:tc>
        <w:tc>
          <w:tcPr>
            <w:tcW w:type="dxa" w:w="626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color w:val="1E2938"/>
                <w:sz w:val="20"/>
                <w:szCs w:val="20"/>
              </w:rPr>
              <w:t xml:space="preserve">Once verified and active, the primary domain cannot be changed without a re-verification request to the onboarding team. Prevents frequent domain switching that degrades trust.</w:t>
            </w:r>
          </w:p>
        </w:tc>
      </w:tr>
      <w:tr>
        <w:tc>
          <w:tcPr>
            <w:tcW w:type="dxa" w:w="310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b/>
                <w:bCs/>
                <w:color w:val="0C5B70"/>
                <w:sz w:val="20"/>
                <w:szCs w:val="20"/>
              </w:rPr>
              <w:t xml:space="preserve">Primary Domain Eligibility Gate</w:t>
            </w:r>
          </w:p>
        </w:tc>
        <w:tc>
          <w:tcPr>
            <w:tcW w:type="dxa" w:w="626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color w:val="1E2938"/>
                <w:sz w:val="20"/>
                <w:szCs w:val="20"/>
              </w:rPr>
              <w:t xml:space="preserve">To list a primary domain, the trainer must have: (1) Minimum 3 years verified experience in that domain, or (2) Minimum 2 relevant verified certifications. If neither condition is met, the system allows listing but displays the domain at "Self-Declared" confidence only — with reduced search visibility.</w:t>
            </w:r>
          </w:p>
        </w:tc>
      </w:tr>
      <w:tr>
        <w:tc>
          <w:tcPr>
            <w:tcW w:type="dxa" w:w="310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b/>
                <w:bCs/>
                <w:color w:val="0C5B70"/>
                <w:sz w:val="20"/>
                <w:szCs w:val="20"/>
              </w:rPr>
              <w:t xml:space="preserve">Primary Domain Depth Score</w:t>
            </w:r>
          </w:p>
        </w:tc>
        <w:tc>
          <w:tcPr>
            <w:tcW w:type="dxa" w:w="626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color w:val="1E2938"/>
                <w:sz w:val="20"/>
                <w:szCs w:val="20"/>
              </w:rPr>
              <w:t xml:space="preserve">AI calculates a domain depth score (0–100) based on: years of verified experience, number and tier of verified certifications, sub-domain coverage breadth, and industry vertical specificity. Displayed as a domain proficiency bar on the public profile.</w:t>
            </w:r>
          </w:p>
        </w:tc>
      </w:tr>
    </w:tbl>
    <w:p>
      <w:pPr>
        <w:spacing w:before="80" w:after="0"/>
      </w:pPr>
      <w:r>
        <w:t xml:space="preserve"/>
      </w:r>
    </w:p>
    <w:p>
      <w:pPr>
        <w:spacing w:before="260" w:after="110"/>
      </w:pPr>
      <w:r>
        <w:rPr>
          <w:rFonts w:ascii="Calibri" w:cs="Calibri" w:eastAsia="Calibri" w:hAnsi="Calibri"/>
          <w:b/>
          <w:bCs/>
          <w:color w:val="0C5B70"/>
          <w:sz w:val="31"/>
          <w:szCs w:val="31"/>
        </w:rPr>
        <w:t xml:space="preserve">2.2 Secondary Domains — Fields &amp;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b/>
                <w:bCs/>
                <w:color w:val="0C5B70"/>
                <w:sz w:val="20"/>
                <w:szCs w:val="20"/>
              </w:rPr>
              <w:t xml:space="preserve">Secondary Domain Slots</w:t>
            </w:r>
          </w:p>
        </w:tc>
        <w:tc>
          <w:tcPr>
            <w:tcW w:type="dxa" w:w="626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color w:val="1E2938"/>
                <w:sz w:val="20"/>
                <w:szCs w:val="20"/>
              </w:rPr>
              <w:t xml:space="preserve">Up to 4 secondary domains allowed. Listed below the primary domain on the profile. Each has its own verification state and depth score.</w:t>
            </w:r>
          </w:p>
        </w:tc>
      </w:tr>
      <w:tr>
        <w:tc>
          <w:tcPr>
            <w:tcW w:type="dxa" w:w="310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b/>
                <w:bCs/>
                <w:color w:val="0C5B70"/>
                <w:sz w:val="20"/>
                <w:szCs w:val="20"/>
              </w:rPr>
              <w:t xml:space="preserve">Secondary Domain Threshold</w:t>
            </w:r>
          </w:p>
        </w:tc>
        <w:tc>
          <w:tcPr>
            <w:tcW w:type="dxa" w:w="626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color w:val="1E2938"/>
                <w:sz w:val="20"/>
                <w:szCs w:val="20"/>
              </w:rPr>
              <w:t xml:space="preserve">Each secondary domain requires: minimum 1 year verified experience or 1 verified certification. Lower bar than primary but still evidence-gated.</w:t>
            </w:r>
          </w:p>
        </w:tc>
      </w:tr>
      <w:tr>
        <w:tc>
          <w:tcPr>
            <w:tcW w:type="dxa" w:w="310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b/>
                <w:bCs/>
                <w:color w:val="0C5B70"/>
                <w:sz w:val="20"/>
                <w:szCs w:val="20"/>
              </w:rPr>
              <w:t xml:space="preserve">Facilitation Eligibility Rule</w:t>
            </w:r>
          </w:p>
        </w:tc>
        <w:tc>
          <w:tcPr>
            <w:tcW w:type="dxa" w:w="626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color w:val="1E2938"/>
                <w:sz w:val="20"/>
                <w:szCs w:val="20"/>
              </w:rPr>
              <w:t xml:space="preserve">For industrial visit facilitation: trainers can lead as primary facilitator only in their primary domain. For secondary domains, they can co-facilitate or assist. This rule is enforced at booking time.</w:t>
            </w:r>
          </w:p>
        </w:tc>
      </w:tr>
      <w:tr>
        <w:tc>
          <w:tcPr>
            <w:tcW w:type="dxa" w:w="310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b/>
                <w:bCs/>
                <w:color w:val="0C5B70"/>
                <w:sz w:val="20"/>
                <w:szCs w:val="20"/>
              </w:rPr>
              <w:t xml:space="preserve">Secondary Domain Discovery</w:t>
            </w:r>
          </w:p>
        </w:tc>
        <w:tc>
          <w:tcPr>
            <w:tcW w:type="dxa" w:w="626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color w:val="1E2938"/>
                <w:sz w:val="20"/>
                <w:szCs w:val="20"/>
              </w:rPr>
              <w:t xml:space="preserve">Secondary domains increase the trainer's appearance in search results for those domains. A trainer with IT as primary and Data Science as secondary appears in both IT and Data Science searches — with a visual indicator showing which is primary.</w:t>
            </w:r>
          </w:p>
        </w:tc>
      </w:tr>
    </w:tbl>
    <w:p>
      <w:pPr>
        <w:spacing w:before="80" w:after="0"/>
      </w:pPr>
      <w:r>
        <w:t xml:space="preserve"/>
      </w:r>
    </w:p>
    <w:p>
      <w:pPr>
        <w:spacing w:before="260" w:after="110"/>
      </w:pPr>
      <w:r>
        <w:rPr>
          <w:rFonts w:ascii="Calibri" w:cs="Calibri" w:eastAsia="Calibri" w:hAnsi="Calibri"/>
          <w:b/>
          <w:bCs/>
          <w:color w:val="0C5B70"/>
          <w:sz w:val="31"/>
          <w:szCs w:val="31"/>
        </w:rPr>
        <w:t xml:space="preserve">2.3 Sub-Domain Tags — Complete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b/>
                <w:bCs/>
                <w:color w:val="0C5B70"/>
                <w:sz w:val="20"/>
                <w:szCs w:val="20"/>
              </w:rPr>
              <w:t xml:space="preserve">Sub-Domain Tag Slots</w:t>
            </w:r>
          </w:p>
        </w:tc>
        <w:tc>
          <w:tcPr>
            <w:tcW w:type="dxa" w:w="626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color w:val="1E2938"/>
                <w:sz w:val="20"/>
                <w:szCs w:val="20"/>
              </w:rPr>
              <w:t xml:space="preserve">Up to 15 sub-domain tags across all domains. Example: within IT domain — "Python Backend Development", "AWS Solutions Architecture", "NLP &amp; Text Analytics", "DevSecOps", "Mobile App Development (Flutter)".</w:t>
            </w:r>
          </w:p>
        </w:tc>
      </w:tr>
      <w:tr>
        <w:tc>
          <w:tcPr>
            <w:tcW w:type="dxa" w:w="310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b/>
                <w:bCs/>
                <w:color w:val="0C5B70"/>
                <w:sz w:val="20"/>
                <w:szCs w:val="20"/>
              </w:rPr>
              <w:t xml:space="preserve">Sub-Domain Verification States</w:t>
            </w:r>
          </w:p>
        </w:tc>
        <w:tc>
          <w:tcPr>
            <w:tcW w:type="dxa" w:w="626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color w:val="1E2938"/>
                <w:sz w:val="20"/>
                <w:szCs w:val="20"/>
              </w:rPr>
              <w:t xml:space="preserve">Each sub-domain tag has its own state: (1) Certified — backed by a specific, named certification, (2) Experienced — backed by a verified role description mentioning this sub-domain, (3) AI-Inferred — AI detected this from LinkedIn or project descriptions, (4) Self-Declared — trainer added without supporting evidence.</w:t>
            </w:r>
          </w:p>
        </w:tc>
      </w:tr>
      <w:tr>
        <w:tc>
          <w:tcPr>
            <w:tcW w:type="dxa" w:w="310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b/>
                <w:bCs/>
                <w:color w:val="0C5B70"/>
                <w:sz w:val="20"/>
                <w:szCs w:val="20"/>
              </w:rPr>
              <w:t xml:space="preserve">Sub-Domain Search Weight</w:t>
            </w:r>
          </w:p>
        </w:tc>
        <w:tc>
          <w:tcPr>
            <w:tcW w:type="dxa" w:w="626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color w:val="1E2938"/>
                <w:sz w:val="20"/>
                <w:szCs w:val="20"/>
              </w:rPr>
              <w:t xml:space="preserve">In marketplace search: Certified sub-domains carry 4x the search weight of Self-Declared tags. An institute searching for "Kubernetes" will see trainers with a Certified Kubernetes Administrator (CKA) tag ranked far above those who simply tagged "Kubernetes" without a certificate.</w:t>
            </w:r>
          </w:p>
        </w:tc>
      </w:tr>
      <w:tr>
        <w:tc>
          <w:tcPr>
            <w:tcW w:type="dxa" w:w="310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b/>
                <w:bCs/>
                <w:color w:val="0C5B70"/>
                <w:sz w:val="20"/>
                <w:szCs w:val="20"/>
              </w:rPr>
              <w:t xml:space="preserve">Sub-Domain Tag Suggestions (AI)</w:t>
            </w:r>
          </w:p>
        </w:tc>
        <w:tc>
          <w:tcPr>
            <w:tcW w:type="dxa" w:w="626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color w:val="1E2938"/>
                <w:sz w:val="20"/>
                <w:szCs w:val="20"/>
              </w:rPr>
              <w:t xml:space="preserve">When a trainer uploads new certifications or experience documents, AI automatically suggests new sub-domain tags: "Your AWS SAP-C02 certification supports adding these sub-domains: Multi-Account AWS Architecture, AWS Cost Optimization, High Availability Design."</w:t>
            </w:r>
          </w:p>
        </w:tc>
      </w:tr>
      <w:tr>
        <w:tc>
          <w:tcPr>
            <w:tcW w:type="dxa" w:w="310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b/>
                <w:bCs/>
                <w:color w:val="0C5B70"/>
                <w:sz w:val="20"/>
                <w:szCs w:val="20"/>
              </w:rPr>
              <w:t xml:space="preserve">Sub-Domain Tag Limit Rationale</w:t>
            </w:r>
          </w:p>
        </w:tc>
        <w:tc>
          <w:tcPr>
            <w:tcW w:type="dxa" w:w="626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color w:val="1E2938"/>
                <w:sz w:val="20"/>
                <w:szCs w:val="20"/>
              </w:rPr>
              <w:t xml:space="preserve">The 15-tag limit prevents "keyword stuffing" — a common manipulation on other platforms where trainers add dozens of buzzwords they cannot deliver on. The limit forces trainers to prioritize their strongest areas.</w:t>
            </w:r>
          </w:p>
        </w:tc>
      </w:tr>
      <w:tr>
        <w:tc>
          <w:tcPr>
            <w:tcW w:type="dxa" w:w="310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b/>
                <w:bCs/>
                <w:color w:val="0C5B70"/>
                <w:sz w:val="20"/>
                <w:szCs w:val="20"/>
              </w:rPr>
              <w:t xml:space="preserve">Industry Vertical Overlay</w:t>
            </w:r>
          </w:p>
        </w:tc>
        <w:tc>
          <w:tcPr>
            <w:tcW w:type="dxa" w:w="626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color w:val="1E2938"/>
                <w:sz w:val="20"/>
                <w:szCs w:val="20"/>
              </w:rPr>
              <w:t xml:space="preserve">Sub-domain tags can be filtered by industry vertical. "Python" is a sub-domain; "Python for Financial Modelling" is an industry-vertical-specific tag. Both can coexist and are weighted differently in finance sector searches.</w:t>
            </w:r>
          </w:p>
        </w:tc>
      </w:tr>
    </w:tbl>
    <w:p>
      <w:pPr>
        <w:spacing w:before="80" w:after="0"/>
      </w:pPr>
      <w:r>
        <w:t xml:space="preserve"/>
      </w:r>
    </w:p>
    <w:p>
      <w:pPr>
        <w:spacing w:before="260" w:after="110"/>
      </w:pPr>
      <w:r>
        <w:rPr>
          <w:rFonts w:ascii="Calibri" w:cs="Calibri" w:eastAsia="Calibri" w:hAnsi="Calibri"/>
          <w:b/>
          <w:bCs/>
          <w:color w:val="0C5B70"/>
          <w:sz w:val="31"/>
          <w:szCs w:val="31"/>
        </w:rPr>
        <w:t xml:space="preserve">2.4 The 12-Domain Taxonomy — What Each Domain Covers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80"/>
        <w:gridCol w:w="4080"/>
      </w:tblGrid>
      <w:tr>
        <w:trPr>
          <w:tblHeader/>
        </w:trPr>
        <w:tc>
          <w:tcPr>
            <w:tcW w:type="dxa" w:w="1600"/>
            <w:tcBorders>
              <w:top w:val="single" w:color="C3C8D3" w:sz="1"/>
              <w:left w:val="single" w:color="C3C8D3" w:sz="1"/>
              <w:bottom w:val="single" w:color="C3C8D3" w:sz="1"/>
              <w:right w:val="single" w:color="C3C8D3" w:sz="1"/>
            </w:tcBorders>
            <w:shd w:fill="0C5B70" w:val="clear"/>
            <w:tcMar>
              <w:top w:type="dxa" w:w="110"/>
              <w:left w:type="dxa" w:w="140"/>
              <w:bottom w:type="dxa" w:w="110"/>
              <w:right w:type="dxa" w:w="140"/>
            </w:tcMar>
          </w:tcPr>
          <w:p>
            <w:pPr>
              <w:jc w:val="center"/>
            </w:pPr>
            <w:r>
              <w:rPr>
                <w:rFonts w:ascii="Calibri" w:cs="Calibri" w:eastAsia="Calibri" w:hAnsi="Calibri"/>
                <w:b/>
                <w:bCs/>
                <w:color w:val="FFFFFF"/>
                <w:sz w:val="20"/>
                <w:szCs w:val="20"/>
              </w:rPr>
              <w:t xml:space="preserve">Domain</w:t>
            </w:r>
          </w:p>
        </w:tc>
        <w:tc>
          <w:tcPr>
            <w:tcW w:type="dxa" w:w="3680"/>
            <w:tcBorders>
              <w:top w:val="single" w:color="C3C8D3" w:sz="1"/>
              <w:left w:val="single" w:color="C3C8D3" w:sz="1"/>
              <w:bottom w:val="single" w:color="C3C8D3" w:sz="1"/>
              <w:right w:val="single" w:color="C3C8D3" w:sz="1"/>
            </w:tcBorders>
            <w:shd w:fill="0C5B70" w:val="clear"/>
            <w:tcMar>
              <w:top w:type="dxa" w:w="110"/>
              <w:left w:type="dxa" w:w="140"/>
              <w:bottom w:type="dxa" w:w="110"/>
              <w:right w:type="dxa" w:w="140"/>
            </w:tcMar>
          </w:tcPr>
          <w:p>
            <w:pPr>
              <w:jc w:val="center"/>
            </w:pPr>
            <w:r>
              <w:rPr>
                <w:rFonts w:ascii="Calibri" w:cs="Calibri" w:eastAsia="Calibri" w:hAnsi="Calibri"/>
                <w:b/>
                <w:bCs/>
                <w:color w:val="FFFFFF"/>
                <w:sz w:val="20"/>
                <w:szCs w:val="20"/>
              </w:rPr>
              <w:t xml:space="preserve">Key Sub-Domains Available</w:t>
            </w:r>
          </w:p>
        </w:tc>
        <w:tc>
          <w:tcPr>
            <w:tcW w:type="dxa" w:w="4080"/>
            <w:tcBorders>
              <w:top w:val="single" w:color="C3C8D3" w:sz="1"/>
              <w:left w:val="single" w:color="C3C8D3" w:sz="1"/>
              <w:bottom w:val="single" w:color="C3C8D3" w:sz="1"/>
              <w:right w:val="single" w:color="C3C8D3" w:sz="1"/>
            </w:tcBorders>
            <w:shd w:fill="0C5B70" w:val="clear"/>
            <w:tcMar>
              <w:top w:type="dxa" w:w="110"/>
              <w:left w:type="dxa" w:w="140"/>
              <w:bottom w:type="dxa" w:w="110"/>
              <w:right w:type="dxa" w:w="140"/>
            </w:tcMar>
          </w:tcPr>
          <w:p>
            <w:pPr>
              <w:jc w:val="center"/>
            </w:pPr>
            <w:r>
              <w:rPr>
                <w:rFonts w:ascii="Calibri" w:cs="Calibri" w:eastAsia="Calibri" w:hAnsi="Calibri"/>
                <w:b/>
                <w:bCs/>
                <w:color w:val="FFFFFF"/>
                <w:sz w:val="20"/>
                <w:szCs w:val="20"/>
              </w:rPr>
              <w:t xml:space="preserve">Visit Facilitation Areas</w:t>
            </w:r>
          </w:p>
        </w:tc>
      </w:tr>
      <w:tr>
        <w:tc>
          <w:tcPr>
            <w:tcW w:type="dxa" w:w="160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bCs/>
                <w:color w:val="0B1E38"/>
                <w:sz w:val="20"/>
                <w:szCs w:val="20"/>
              </w:rPr>
              <w:t xml:space="preserve">IT &amp; Software</w:t>
            </w:r>
          </w:p>
        </w:tc>
        <w:tc>
          <w:tcPr>
            <w:tcW w:type="dxa" w:w="368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Full-Stack Dev, Cloud (AWS/GCP/Azure), DevOps/SRE, Cybersecurity, ML/AI, Data Engineering, Product Management, QA, UI/UX, Blockchain</w:t>
            </w:r>
          </w:p>
        </w:tc>
        <w:tc>
          <w:tcPr>
            <w:tcW w:type="dxa" w:w="408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Software company visits, cloud infrastructure tours, startup product walkthroughs, data center orientations, AI lab sessions</w:t>
            </w:r>
          </w:p>
        </w:tc>
      </w:tr>
      <w:tr>
        <w:tc>
          <w:tcPr>
            <w:tcW w:type="dxa" w:w="160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bCs/>
                <w:color w:val="0B1E38"/>
                <w:sz w:val="20"/>
                <w:szCs w:val="20"/>
              </w:rPr>
              <w:t xml:space="preserve">Manufacturing &amp; Engineering</w:t>
            </w:r>
          </w:p>
        </w:tc>
        <w:tc>
          <w:tcPr>
            <w:tcW w:type="dxa" w:w="368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Lean/Six Sigma, CAD/CAM, PLC/SCADA, Quality Mgmt (ISO/IATF), Supply Chain, CNC Machining, Robotics, Green Mfg, EHS</w:t>
            </w:r>
          </w:p>
        </w:tc>
        <w:tc>
          <w:tcPr>
            <w:tcW w:type="dxa" w:w="408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Factory floor tours, assembly line observation, quality lab visits, R&amp;D facility walkthroughs, automation cell demonstrations</w:t>
            </w:r>
          </w:p>
        </w:tc>
      </w:tr>
      <w:tr>
        <w:tc>
          <w:tcPr>
            <w:tcW w:type="dxa" w:w="160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bCs/>
                <w:color w:val="0B1E38"/>
                <w:sz w:val="20"/>
                <w:szCs w:val="20"/>
              </w:rPr>
              <w:t xml:space="preserve">Healthcare &amp; Life Sciences</w:t>
            </w:r>
          </w:p>
        </w:tc>
        <w:tc>
          <w:tcPr>
            <w:tcW w:type="dxa" w:w="368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Hospital Administration, Pharma GMP, Clinical Research, Medical Devices, EMR/HIS, Biotech, Diagnostics, Public Health</w:t>
            </w:r>
          </w:p>
        </w:tc>
        <w:tc>
          <w:tcPr>
            <w:tcW w:type="dxa" w:w="408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Hospital department tours, pharma plant visits, diagnostic lab orientations, medical device company visits, clinical trial site tours</w:t>
            </w:r>
          </w:p>
        </w:tc>
      </w:tr>
      <w:tr>
        <w:tc>
          <w:tcPr>
            <w:tcW w:type="dxa" w:w="160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bCs/>
                <w:color w:val="0B1E38"/>
                <w:sz w:val="20"/>
                <w:szCs w:val="20"/>
              </w:rPr>
              <w:t xml:space="preserve">Finance &amp; Banking</w:t>
            </w:r>
          </w:p>
        </w:tc>
        <w:tc>
          <w:tcPr>
            <w:tcW w:type="dxa" w:w="368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Equity Research, Credit Analysis, FinTech, Investment Banking, Risk &amp; Compliance, Actuary, Treasury, Audit</w:t>
            </w:r>
          </w:p>
        </w:tc>
        <w:tc>
          <w:tcPr>
            <w:tcW w:type="dxa" w:w="408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Bank branch and back-office tours, stock exchange visits, FinTech company walkthroughs, NBFC operations visits</w:t>
            </w:r>
          </w:p>
        </w:tc>
      </w:tr>
      <w:tr>
        <w:tc>
          <w:tcPr>
            <w:tcW w:type="dxa" w:w="160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bCs/>
                <w:color w:val="0B1E38"/>
                <w:sz w:val="20"/>
                <w:szCs w:val="20"/>
              </w:rPr>
              <w:t xml:space="preserve">Retail &amp; E-Commerce</w:t>
            </w:r>
          </w:p>
        </w:tc>
        <w:tc>
          <w:tcPr>
            <w:tcW w:type="dxa" w:w="368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Category Management, Supply Chain, CRM, D2C, Omnichannel, Visual Merchandising, Demand Planning</w:t>
            </w:r>
          </w:p>
        </w:tc>
        <w:tc>
          <w:tcPr>
            <w:tcW w:type="dxa" w:w="408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Warehouse &amp; fulfilment centre tours, retail flagship store visits, e-commerce ops centre walkthrough, buyer office visits</w:t>
            </w:r>
          </w:p>
        </w:tc>
      </w:tr>
      <w:tr>
        <w:tc>
          <w:tcPr>
            <w:tcW w:type="dxa" w:w="160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bCs/>
                <w:color w:val="0B1E38"/>
                <w:sz w:val="20"/>
                <w:szCs w:val="20"/>
              </w:rPr>
              <w:t xml:space="preserve">Media, Design &amp; Creative</w:t>
            </w:r>
          </w:p>
        </w:tc>
        <w:tc>
          <w:tcPr>
            <w:tcW w:type="dxa" w:w="368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UX Research, Brand Design, Content Strategy, Video Production, Ad Operations, Publishing, Motion Graphics</w:t>
            </w:r>
          </w:p>
        </w:tc>
        <w:tc>
          <w:tcPr>
            <w:tcW w:type="dxa" w:w="408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Creative agency studio visits, broadcast media facility tours, design firm walkthroughs, production house visits</w:t>
            </w:r>
          </w:p>
        </w:tc>
      </w:tr>
      <w:tr>
        <w:tc>
          <w:tcPr>
            <w:tcW w:type="dxa" w:w="160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bCs/>
                <w:color w:val="0B1E38"/>
                <w:sz w:val="20"/>
                <w:szCs w:val="20"/>
              </w:rPr>
              <w:t xml:space="preserve">Agriculture &amp; Food Tech</w:t>
            </w:r>
          </w:p>
        </w:tc>
        <w:tc>
          <w:tcPr>
            <w:tcW w:type="dxa" w:w="368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Precision Farming, Cold Chain, FSSAI/Food Safety, Agri-Finance, Vertical Farming, AgriTech SaaS</w:t>
            </w:r>
          </w:p>
        </w:tc>
        <w:tc>
          <w:tcPr>
            <w:tcW w:type="dxa" w:w="408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Farm visits, food processing plant tours, agri-input company visits, cold chain facility walkthroughs</w:t>
            </w:r>
          </w:p>
        </w:tc>
      </w:tr>
      <w:tr>
        <w:tc>
          <w:tcPr>
            <w:tcW w:type="dxa" w:w="160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bCs/>
                <w:color w:val="0B1E38"/>
                <w:sz w:val="20"/>
                <w:szCs w:val="20"/>
              </w:rPr>
              <w:t xml:space="preserve">Energy &amp; Environment</w:t>
            </w:r>
          </w:p>
        </w:tc>
        <w:tc>
          <w:tcPr>
            <w:tcW w:type="dxa" w:w="368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Solar/Wind, EV Systems, ESG &amp; Sustainability, Carbon Markets, Energy Audit, Waste Management</w:t>
            </w:r>
          </w:p>
        </w:tc>
        <w:tc>
          <w:tcPr>
            <w:tcW w:type="dxa" w:w="408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Power plant visits, EV manufacturing facility tours, solar farm walkthroughs, sustainability operations center visits</w:t>
            </w:r>
          </w:p>
        </w:tc>
      </w:tr>
      <w:tr>
        <w:tc>
          <w:tcPr>
            <w:tcW w:type="dxa" w:w="160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bCs/>
                <w:color w:val="0B1E38"/>
                <w:sz w:val="20"/>
                <w:szCs w:val="20"/>
              </w:rPr>
              <w:t xml:space="preserve">Logistics &amp; Supply Chain</w:t>
            </w:r>
          </w:p>
        </w:tc>
        <w:tc>
          <w:tcPr>
            <w:tcW w:type="dxa" w:w="368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WMS/TMS, Freight Forwarding, Last-Mile, Procurement, Customs, Cold Chain, Reverse Logistics</w:t>
            </w:r>
          </w:p>
        </w:tc>
        <w:tc>
          <w:tcPr>
            <w:tcW w:type="dxa" w:w="408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Logistics hub tours, 3PL warehouse visits, freight terminal walkthroughs, supply chain control tower visits</w:t>
            </w:r>
          </w:p>
        </w:tc>
      </w:tr>
      <w:tr>
        <w:tc>
          <w:tcPr>
            <w:tcW w:type="dxa" w:w="160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bCs/>
                <w:color w:val="0B1E38"/>
                <w:sz w:val="20"/>
                <w:szCs w:val="20"/>
              </w:rPr>
              <w:t xml:space="preserve">Education &amp; EdTech</w:t>
            </w:r>
          </w:p>
        </w:tc>
        <w:tc>
          <w:tcPr>
            <w:tcW w:type="dxa" w:w="368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Instructional Design, LMS Admin, Assessment Design, Learning Analytics, Corporate L&amp;D, EdTech SaaS</w:t>
            </w:r>
          </w:p>
        </w:tc>
        <w:tc>
          <w:tcPr>
            <w:tcW w:type="dxa" w:w="408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EdTech company visits, corporate learning center tours, school management system demonstrations</w:t>
            </w:r>
          </w:p>
        </w:tc>
      </w:tr>
      <w:tr>
        <w:tc>
          <w:tcPr>
            <w:tcW w:type="dxa" w:w="160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bCs/>
                <w:color w:val="0B1E38"/>
                <w:sz w:val="20"/>
                <w:szCs w:val="20"/>
              </w:rPr>
              <w:t xml:space="preserve">Government &amp; Public Sector</w:t>
            </w:r>
          </w:p>
        </w:tc>
        <w:tc>
          <w:tcPr>
            <w:tcW w:type="dxa" w:w="368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e-Governance, Public Finance, Urban Planning, Policy Analysis, RTI/Compliance, Smart City, CSR</w:t>
            </w:r>
          </w:p>
        </w:tc>
        <w:tc>
          <w:tcPr>
            <w:tcW w:type="dxa" w:w="408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Government office process tours, smart city ops center visits, public sector project site visits</w:t>
            </w:r>
          </w:p>
        </w:tc>
      </w:tr>
      <w:tr>
        <w:tc>
          <w:tcPr>
            <w:tcW w:type="dxa" w:w="160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bCs/>
                <w:color w:val="0B1E38"/>
                <w:sz w:val="20"/>
                <w:szCs w:val="20"/>
              </w:rPr>
              <w:t xml:space="preserve">Legal &amp; Compliance</w:t>
            </w:r>
          </w:p>
        </w:tc>
        <w:tc>
          <w:tcPr>
            <w:tcW w:type="dxa" w:w="368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Corporate Law, Labour Law, POSH, DPDP/GDPR, IP Law, Contract Drafting, Secretarial Practice</w:t>
            </w:r>
          </w:p>
        </w:tc>
        <w:tc>
          <w:tcPr>
            <w:tcW w:type="dxa" w:w="408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Law firm visits, corporate legal department tours, tribunal observation sessions, regulatory body interaction programs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9C5500" w:val="clear"/>
            <w:tcMar>
              <w:top w:type="dxa" w:w="200"/>
              <w:left w:type="dxa" w:w="100"/>
              <w:bottom w:type="dxa" w:w="200"/>
              <w:right w:type="dxa" w:w="100"/>
            </w:tcMar>
            <w:vAlign w:val="center"/>
          </w:tcPr>
          <w:p>
            <w:pPr>
              <w:jc w:val="center"/>
            </w:pPr>
            <w:r>
              <w:rPr>
                <w:rFonts w:ascii="Calibri" w:cs="Calibri" w:eastAsia="Calibri" w:hAnsi="Calibri"/>
                <w:b/>
                <w:bCs/>
                <w:color w:val="E6B000"/>
                <w:sz w:val="54"/>
                <w:szCs w:val="54"/>
              </w:rPr>
              <w:t xml:space="preserve">F3</w:t>
            </w:r>
          </w:p>
        </w:tc>
        <w:tc>
          <w:tcPr>
            <w:tcW w:type="dxa" w:w="8260"/>
            <w:tcBorders>
              <w:top w:val="none" w:color="FFFFFF" w:sz="0"/>
              <w:left w:val="none" w:color="FFFFFF" w:sz="0"/>
              <w:bottom w:val="none" w:color="FFFFFF" w:sz="0"/>
              <w:right w:val="none" w:color="FFFFFF" w:sz="0"/>
            </w:tcBorders>
            <w:shd w:fill="9C5500" w:val="clear"/>
            <w:tcMar>
              <w:top w:type="dxa" w:w="180"/>
              <w:left w:type="dxa" w:w="220"/>
              <w:bottom w:type="dxa" w:w="180"/>
              <w:right w:type="dxa" w:w="120"/>
            </w:tcMar>
          </w:tcPr>
          <w:p>
            <w:r>
              <w:rPr>
                <w:rFonts w:ascii="Calibri" w:cs="Calibri" w:eastAsia="Calibri" w:hAnsi="Calibri"/>
                <w:b/>
                <w:bCs/>
                <w:color w:val="FFFFFF"/>
                <w:sz w:val="36"/>
                <w:szCs w:val="36"/>
              </w:rPr>
              <w:t xml:space="preserve">Skills &amp; Tools Listing</w:t>
            </w:r>
          </w:p>
          <w:p>
            <w:pPr>
              <w:spacing w:before="30" w:after="0"/>
            </w:pPr>
            <w:r>
              <w:rPr>
                <w:rFonts w:ascii="Calibri" w:cs="Calibri" w:eastAsia="Calibri" w:hAnsi="Calibri"/>
                <w:i/>
                <w:iCs/>
                <w:color w:val="CCDAEE"/>
                <w:sz w:val="19"/>
                <w:szCs w:val="19"/>
              </w:rPr>
              <w:t xml:space="preserve">A granular, verification-linked catalog of every technical skill, soft skill, and tool the trainer can legitimately teach or demonstrate</w:t>
            </w:r>
          </w:p>
        </w:tc>
      </w:tr>
    </w:tbl>
    <w:p>
      <w:pPr>
        <w:spacing w:before="120" w:after="0"/>
      </w:pPr>
      <w:r>
        <w:t xml:space="preserve"/>
      </w:r>
    </w:p>
    <w:p>
      <w:pPr>
        <w:spacing w:before="340" w:after="150"/>
      </w:pPr>
      <w:r>
        <w:rPr>
          <w:rFonts w:ascii="Calibri" w:cs="Calibri" w:eastAsia="Calibri" w:hAnsi="Calibri"/>
          <w:b/>
          <w:bCs/>
          <w:color w:val="9C5500"/>
          <w:sz w:val="42"/>
          <w:szCs w:val="42"/>
        </w:rPr>
        <w:t xml:space="preserve">Feature 3: Skills &amp; Tools Listing</w:t>
      </w:r>
    </w:p>
    <w:p>
      <w:pPr>
        <w:pBdr>
          <w:bottom w:val="single" w:color="9C5500" w:sz="8"/>
        </w:pBdr>
        <w:spacing w:before="80" w:after="80"/>
      </w:pPr>
      <w:r>
        <w:t xml:space="preserve"/>
      </w:r>
    </w:p>
    <w:p>
      <w:pPr>
        <w:spacing w:before="60" w:after="60"/>
      </w:pPr>
      <w:r>
        <w:rPr>
          <w:rFonts w:ascii="Calibri" w:cs="Calibri" w:eastAsia="Calibri" w:hAnsi="Calibri"/>
          <w:b w:val="false"/>
          <w:bCs w:val="false"/>
          <w:i w:val="false"/>
          <w:iCs w:val="false"/>
          <w:color w:val="1E2938"/>
          <w:sz w:val="21"/>
          <w:szCs w:val="21"/>
        </w:rPr>
        <w:t xml:space="preserve">The Skills &amp; Tools Listing is a structured, multi-dimensional catalog that goes far beyond a simple tag cloud. It separates technical skills from soft skills, links each skill to its verification source, tracks proficiency levels, and integrates with the training content marketplace so institutes can verify that a trainer who claims "Agile Coaching" has actually built and delivered Agile training materials — not just attended a workshop.</w:t>
      </w:r>
    </w:p>
    <w:p>
      <w:pPr>
        <w:spacing w:before="80" w:after="0"/>
      </w:pPr>
      <w:r>
        <w:t xml:space="preserve"/>
      </w:r>
    </w:p>
    <w:p>
      <w:pPr>
        <w:spacing w:before="260" w:after="110"/>
      </w:pPr>
      <w:r>
        <w:rPr>
          <w:rFonts w:ascii="Calibri" w:cs="Calibri" w:eastAsia="Calibri" w:hAnsi="Calibri"/>
          <w:b/>
          <w:bCs/>
          <w:color w:val="9C5500"/>
          <w:sz w:val="31"/>
          <w:szCs w:val="31"/>
        </w:rPr>
        <w:t xml:space="preserve">3.1 Technical Skills — Structure &amp;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3C8D3" w:sz="1"/>
              <w:left w:val="single" w:color="C3C8D3" w:sz="1"/>
              <w:bottom w:val="single" w:color="C3C8D3" w:sz="1"/>
              <w:right w:val="single" w:color="C3C8D3" w:sz="1"/>
            </w:tcBorders>
            <w:shd w:fill="9C5500" w:val="clear"/>
            <w:tcMar>
              <w:top w:type="dxa" w:w="110"/>
              <w:left w:type="dxa" w:w="140"/>
              <w:bottom w:type="dxa" w:w="110"/>
              <w:right w:type="dxa" w:w="140"/>
            </w:tcMar>
          </w:tcPr>
          <w:p>
            <w:pPr>
              <w:jc w:val="center"/>
            </w:pPr>
            <w:r>
              <w:rPr>
                <w:rFonts w:ascii="Calibri" w:cs="Calibri" w:eastAsia="Calibri" w:hAnsi="Calibri"/>
                <w:b/>
                <w:bCs/>
                <w:color w:val="FFFFFF"/>
                <w:sz w:val="19"/>
                <w:szCs w:val="19"/>
              </w:rPr>
              <w:t xml:space="preserve">Field / Element</w:t>
            </w:r>
          </w:p>
        </w:tc>
        <w:tc>
          <w:tcPr>
            <w:tcW w:type="dxa" w:w="2600"/>
            <w:tcBorders>
              <w:top w:val="single" w:color="C3C8D3" w:sz="1"/>
              <w:left w:val="single" w:color="C3C8D3" w:sz="1"/>
              <w:bottom w:val="single" w:color="C3C8D3" w:sz="1"/>
              <w:right w:val="single" w:color="C3C8D3" w:sz="1"/>
            </w:tcBorders>
            <w:shd w:fill="9C5500" w:val="clear"/>
            <w:tcMar>
              <w:top w:type="dxa" w:w="110"/>
              <w:left w:type="dxa" w:w="140"/>
              <w:bottom w:type="dxa" w:w="110"/>
              <w:right w:type="dxa" w:w="140"/>
            </w:tcMar>
          </w:tcPr>
          <w:p>
            <w:pPr>
              <w:jc w:val="center"/>
            </w:pPr>
            <w:r>
              <w:rPr>
                <w:rFonts w:ascii="Calibri" w:cs="Calibri" w:eastAsia="Calibri" w:hAnsi="Calibri"/>
                <w:b/>
                <w:bCs/>
                <w:color w:val="FFFFFF"/>
                <w:sz w:val="19"/>
                <w:szCs w:val="19"/>
              </w:rPr>
              <w:t xml:space="preserve">Data Type &amp; Constraints</w:t>
            </w:r>
          </w:p>
        </w:tc>
        <w:tc>
          <w:tcPr>
            <w:tcW w:type="dxa" w:w="4560"/>
            <w:tcBorders>
              <w:top w:val="single" w:color="C3C8D3" w:sz="1"/>
              <w:left w:val="single" w:color="C3C8D3" w:sz="1"/>
              <w:bottom w:val="single" w:color="C3C8D3" w:sz="1"/>
              <w:right w:val="single" w:color="C3C8D3" w:sz="1"/>
            </w:tcBorders>
            <w:shd w:fill="9C5500" w:val="clear"/>
            <w:tcMar>
              <w:top w:type="dxa" w:w="110"/>
              <w:left w:type="dxa" w:w="140"/>
              <w:bottom w:type="dxa" w:w="110"/>
              <w:right w:type="dxa" w:w="140"/>
            </w:tcMar>
          </w:tcPr>
          <w:p>
            <w:pPr>
              <w:jc w:val="center"/>
            </w:pPr>
            <w:r>
              <w:rPr>
                <w:rFonts w:ascii="Calibri" w:cs="Calibri" w:eastAsia="Calibri" w:hAnsi="Calibri"/>
                <w:b/>
                <w:bCs/>
                <w:color w:val="FFFFFF"/>
                <w:sz w:val="19"/>
                <w:szCs w:val="19"/>
              </w:rPr>
              <w:t xml:space="preserve">Purpose &amp; Business Logic</w:t>
            </w:r>
          </w:p>
        </w:tc>
      </w:tr>
      <w:tr>
        <w:tc>
          <w:tcPr>
            <w:tcW w:type="dxa" w:w="22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bCs/>
                <w:color w:val="0B1E38"/>
                <w:sz w:val="19"/>
                <w:szCs w:val="19"/>
              </w:rPr>
              <w:t xml:space="preserve">Skill Name</w:t>
            </w:r>
          </w:p>
        </w:tc>
        <w:tc>
          <w:tcPr>
            <w:tcW w:type="dxa" w:w="26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Select from platform taxonomy (searchable). Free-entry allowed for unlisted skills — auto-flagged for taxonomy addition review.</w:t>
            </w:r>
          </w:p>
        </w:tc>
        <w:tc>
          <w:tcPr>
            <w:tcW w:type="dxa" w:w="456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Standardized skill names enable accurate cross-trainer comparison. Free-entry captures emerging skills before they are added to the taxonomy.</w:t>
            </w:r>
          </w:p>
        </w:tc>
      </w:tr>
      <w:tr>
        <w:tc>
          <w:tcPr>
            <w:tcW w:type="dxa" w:w="22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bCs/>
                <w:color w:val="0B1E38"/>
                <w:sz w:val="19"/>
                <w:szCs w:val="19"/>
              </w:rPr>
              <w:t xml:space="preserve">Proficiency Level</w:t>
            </w:r>
          </w:p>
        </w:tc>
        <w:tc>
          <w:tcPr>
            <w:tcW w:type="dxa" w:w="26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4-tier dropdown: Beginner (can explain) / Intermediate (can teach with support) / Proficient (can teach independently) / Expert (can design curriculum + assess others).</w:t>
            </w:r>
          </w:p>
        </w:tc>
        <w:tc>
          <w:tcPr>
            <w:tcW w:type="dxa" w:w="456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Proficiency level shapes booking eligibility: only Proficient and Expert can lead independent visit facilitation for a skill area. Institutes see this clearly.</w:t>
            </w:r>
          </w:p>
        </w:tc>
      </w:tr>
      <w:tr>
        <w:tc>
          <w:tcPr>
            <w:tcW w:type="dxa" w:w="22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bCs/>
                <w:color w:val="0B1E38"/>
                <w:sz w:val="19"/>
                <w:szCs w:val="19"/>
              </w:rPr>
              <w:t xml:space="preserve">Verification Source</w:t>
            </w:r>
          </w:p>
        </w:tc>
        <w:tc>
          <w:tcPr>
            <w:tcW w:type="dxa" w:w="26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Auto-tagged by system: "Certificate: AWS SAP-C02", "Experience: Tata Motors (2018–2022)", "Assessment: ECOSKILLER Skill Test (Score 87/100)", or "Self-Declared."</w:t>
            </w:r>
          </w:p>
        </w:tc>
        <w:tc>
          <w:tcPr>
            <w:tcW w:type="dxa" w:w="456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Source transparency is the core differentiator. Institutes do not have to guess whether a skill is real — the evidence source is shown inline.</w:t>
            </w:r>
          </w:p>
        </w:tc>
      </w:tr>
      <w:tr>
        <w:tc>
          <w:tcPr>
            <w:tcW w:type="dxa" w:w="22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bCs/>
                <w:color w:val="0B1E38"/>
                <w:sz w:val="19"/>
                <w:szCs w:val="19"/>
              </w:rPr>
              <w:t xml:space="preserve">Last Used / Practiced</w:t>
            </w:r>
          </w:p>
        </w:tc>
        <w:tc>
          <w:tcPr>
            <w:tcW w:type="dxa" w:w="26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Month and year. Auto-updated from experience timeline. Trainers flag skills as "Currently Practicing" or "Previously Used."</w:t>
            </w:r>
          </w:p>
        </w:tc>
        <w:tc>
          <w:tcPr>
            <w:tcW w:type="dxa" w:w="456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Recency matters. A skill last used in 2016 is less valuable for a 2025 industrial visit than one actively used. Institutes filter by recency.</w:t>
            </w:r>
          </w:p>
        </w:tc>
      </w:tr>
      <w:tr>
        <w:tc>
          <w:tcPr>
            <w:tcW w:type="dxa" w:w="22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bCs/>
                <w:color w:val="0B1E38"/>
                <w:sz w:val="19"/>
                <w:szCs w:val="19"/>
              </w:rPr>
              <w:t xml:space="preserve">Years of Practical Use</w:t>
            </w:r>
          </w:p>
        </w:tc>
        <w:tc>
          <w:tcPr>
            <w:tcW w:type="dxa" w:w="26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Calculated from experience timeline where that skill was actively applied. Not editable directly — derived from verified work history.</w:t>
            </w:r>
          </w:p>
        </w:tc>
        <w:tc>
          <w:tcPr>
            <w:tcW w:type="dxa" w:w="456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Prevents inflation. "10 years Python" is only shown if Python appears across 10 years of verified roles, not just claimed.</w:t>
            </w:r>
          </w:p>
        </w:tc>
      </w:tr>
      <w:tr>
        <w:tc>
          <w:tcPr>
            <w:tcW w:type="dxa" w:w="22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bCs/>
                <w:color w:val="0B1E38"/>
                <w:sz w:val="19"/>
                <w:szCs w:val="19"/>
              </w:rPr>
              <w:t xml:space="preserve">Teaching Evidence Link</w:t>
            </w:r>
          </w:p>
        </w:tc>
        <w:tc>
          <w:tcPr>
            <w:tcW w:type="dxa" w:w="26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Optional: link to a course, webinar recording, or assignment that proves the trainer has taught this skill (not just practiced it).</w:t>
            </w:r>
          </w:p>
        </w:tc>
        <w:tc>
          <w:tcPr>
            <w:tcW w:type="dxa" w:w="456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Separates "I know this" from "I can teach this." Both are valid but serve different booking purposes. Institutes who want training vs. demonstration can filter accordingly.</w:t>
            </w:r>
          </w:p>
        </w:tc>
      </w:tr>
    </w:tbl>
    <w:p>
      <w:pPr>
        <w:spacing w:before="100" w:after="0"/>
      </w:pPr>
      <w:r>
        <w:t xml:space="preserve"/>
      </w:r>
    </w:p>
    <w:p>
      <w:pPr>
        <w:spacing w:before="260" w:after="110"/>
      </w:pPr>
      <w:r>
        <w:rPr>
          <w:rFonts w:ascii="Calibri" w:cs="Calibri" w:eastAsia="Calibri" w:hAnsi="Calibri"/>
          <w:b/>
          <w:bCs/>
          <w:color w:val="9C5500"/>
          <w:sz w:val="31"/>
          <w:szCs w:val="31"/>
        </w:rPr>
        <w:t xml:space="preserve">3.2 Soft Skills — Structure &amp;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b/>
                <w:bCs/>
                <w:color w:val="9C5500"/>
                <w:sz w:val="20"/>
                <w:szCs w:val="20"/>
              </w:rPr>
              <w:t xml:space="preserve">Soft Skill Categories</w:t>
            </w:r>
          </w:p>
        </w:tc>
        <w:tc>
          <w:tcPr>
            <w:tcW w:type="dxa" w:w="626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color w:val="1E2938"/>
                <w:sz w:val="20"/>
                <w:szCs w:val="20"/>
              </w:rPr>
              <w:t xml:space="preserve">Communication &amp; Presentation, Leadership &amp; Facilitation, Critical Thinking &amp; Problem Solving, Team Collaboration, Adaptability &amp; Learning Agility, Conflict Resolution, Empathy &amp; Student Engagement, Time Management, Feedback Delivery, Cross-Cultural Communication.</w:t>
            </w:r>
          </w:p>
        </w:tc>
      </w:tr>
      <w:tr>
        <w:tc>
          <w:tcPr>
            <w:tcW w:type="dxa" w:w="310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b/>
                <w:bCs/>
                <w:color w:val="9C5500"/>
                <w:sz w:val="20"/>
                <w:szCs w:val="20"/>
              </w:rPr>
              <w:t xml:space="preserve">Soft Skill Evidence Types</w:t>
            </w:r>
          </w:p>
        </w:tc>
        <w:tc>
          <w:tcPr>
            <w:tcW w:type="dxa" w:w="626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color w:val="1E2938"/>
                <w:sz w:val="20"/>
                <w:szCs w:val="20"/>
              </w:rPr>
              <w:t xml:space="preserve">(1) Platform Assessment — ECOSKILLER's scenario-based soft skill assessments, (2) Student Ratings — aggregate scores from post-visit student feedback forms (Communication, Engagement, Clarity), (3) Institute Ratings — ratings given by institute coordinators after each visit, (4) Self-Declared — no evidence; lowest weight.</w:t>
            </w:r>
          </w:p>
        </w:tc>
      </w:tr>
      <w:tr>
        <w:tc>
          <w:tcPr>
            <w:tcW w:type="dxa" w:w="310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b/>
                <w:bCs/>
                <w:color w:val="9C5500"/>
                <w:sz w:val="20"/>
                <w:szCs w:val="20"/>
              </w:rPr>
              <w:t xml:space="preserve">Soft Skill Score Display</w:t>
            </w:r>
          </w:p>
        </w:tc>
        <w:tc>
          <w:tcPr>
            <w:tcW w:type="dxa" w:w="626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color w:val="1E2938"/>
                <w:sz w:val="20"/>
                <w:szCs w:val="20"/>
              </w:rPr>
              <w:t xml:space="preserve">For platform-assessed soft skills: a numeric score (0–10) shown. For student and institute-rated skills: an aggregate star rating shown. Self-declared soft skills: tagged with a "Not Assessed" label. Recruiter-facing profile shows all three separately.</w:t>
            </w:r>
          </w:p>
        </w:tc>
      </w:tr>
      <w:tr>
        <w:tc>
          <w:tcPr>
            <w:tcW w:type="dxa" w:w="310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b/>
                <w:bCs/>
                <w:color w:val="9C5500"/>
                <w:sz w:val="20"/>
                <w:szCs w:val="20"/>
              </w:rPr>
              <w:t xml:space="preserve">Communication Readiness Index</w:t>
            </w:r>
          </w:p>
        </w:tc>
        <w:tc>
          <w:tcPr>
            <w:tcW w:type="dxa" w:w="626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color w:val="1E2938"/>
                <w:sz w:val="20"/>
                <w:szCs w:val="20"/>
              </w:rPr>
              <w:t xml:space="preserve">A composite soft skill score calculated from: Video introduction AI analysis (delivery, pacing, content structure) + all platform-rated communication scores + average "Engagement" rating from completed visits. Displayed as a single 0–100 index on the profile.</w:t>
            </w:r>
          </w:p>
        </w:tc>
      </w:tr>
      <w:tr>
        <w:tc>
          <w:tcPr>
            <w:tcW w:type="dxa" w:w="310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b/>
                <w:bCs/>
                <w:color w:val="9C5500"/>
                <w:sz w:val="20"/>
                <w:szCs w:val="20"/>
              </w:rPr>
              <w:t xml:space="preserve">Soft Skill Coaching Eligibility</w:t>
            </w:r>
          </w:p>
        </w:tc>
        <w:tc>
          <w:tcPr>
            <w:tcW w:type="dxa" w:w="626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color w:val="1E2938"/>
                <w:sz w:val="20"/>
                <w:szCs w:val="20"/>
              </w:rPr>
              <w:t xml:space="preserve">Trainers with Platform-Assessed soft skill scores above 8.5/10 in Communication and Facilitation are eligible to be listed as "Soft Skills Coach" in the mentor marketplace — a premium service tier with higher booking rates.</w:t>
            </w:r>
          </w:p>
        </w:tc>
      </w:tr>
    </w:tbl>
    <w:p>
      <w:pPr>
        <w:spacing w:before="100" w:after="0"/>
      </w:pPr>
      <w:r>
        <w:t xml:space="preserve"/>
      </w:r>
    </w:p>
    <w:p>
      <w:pPr>
        <w:spacing w:before="260" w:after="110"/>
      </w:pPr>
      <w:r>
        <w:rPr>
          <w:rFonts w:ascii="Calibri" w:cs="Calibri" w:eastAsia="Calibri" w:hAnsi="Calibri"/>
          <w:b/>
          <w:bCs/>
          <w:color w:val="9C5500"/>
          <w:sz w:val="31"/>
          <w:szCs w:val="31"/>
        </w:rPr>
        <w:t xml:space="preserve">3.3 Tools &amp;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b/>
                <w:bCs/>
                <w:color w:val="9C5500"/>
                <w:sz w:val="20"/>
                <w:szCs w:val="20"/>
              </w:rPr>
              <w:t xml:space="preserve">Tool Categories</w:t>
            </w:r>
          </w:p>
        </w:tc>
        <w:tc>
          <w:tcPr>
            <w:tcW w:type="dxa" w:w="626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color w:val="1E2938"/>
                <w:sz w:val="20"/>
                <w:szCs w:val="20"/>
              </w:rPr>
              <w:t xml:space="preserve">Software Tools (JIRA, Tableau, SAP, AutoCAD, SolidWorks, MATLAB, Python IDEs), Cloud Platforms (AWS Console, GCP, Azure Portal), Hardware/Equipment (CNC machines, lab instruments, medical devices — for manufacturing and healthcare trainers), Training Delivery Tools (LMS platforms, virtual lab software, simulation tools, assessment builders).</w:t>
            </w:r>
          </w:p>
        </w:tc>
      </w:tr>
      <w:tr>
        <w:tc>
          <w:tcPr>
            <w:tcW w:type="dxa" w:w="310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b/>
                <w:bCs/>
                <w:color w:val="9C5500"/>
                <w:sz w:val="20"/>
                <w:szCs w:val="20"/>
              </w:rPr>
              <w:t xml:space="preserve">Tool Proficiency Levels</w:t>
            </w:r>
          </w:p>
        </w:tc>
        <w:tc>
          <w:tcPr>
            <w:tcW w:type="dxa" w:w="626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color w:val="1E2938"/>
                <w:sz w:val="20"/>
                <w:szCs w:val="20"/>
              </w:rPr>
              <w:t xml:space="preserve">Same 4-tier system as technical skills: Beginner / Intermediate / Proficient / Expert. For tools: "Expert" means the trainer can conduct hands-on demonstrations using the tool with live student groups.</w:t>
            </w:r>
          </w:p>
        </w:tc>
      </w:tr>
      <w:tr>
        <w:tc>
          <w:tcPr>
            <w:tcW w:type="dxa" w:w="310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b/>
                <w:bCs/>
                <w:color w:val="9C5500"/>
                <w:sz w:val="20"/>
                <w:szCs w:val="20"/>
              </w:rPr>
              <w:t xml:space="preserve">Tool Verification</w:t>
            </w:r>
          </w:p>
        </w:tc>
        <w:tc>
          <w:tcPr>
            <w:tcW w:type="dxa" w:w="626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color w:val="1E2938"/>
                <w:sz w:val="20"/>
                <w:szCs w:val="20"/>
              </w:rPr>
              <w:t xml:space="preserve">Where possible, tools are cross-referenced with certifications (Tableau Desktop Specialist, SAP Certified Associate, etc.). Otherwise: linked to experience entries where the tool was used in a professional role.</w:t>
            </w:r>
          </w:p>
        </w:tc>
      </w:tr>
      <w:tr>
        <w:tc>
          <w:tcPr>
            <w:tcW w:type="dxa" w:w="310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b/>
                <w:bCs/>
                <w:color w:val="9C5500"/>
                <w:sz w:val="20"/>
                <w:szCs w:val="20"/>
              </w:rPr>
              <w:t xml:space="preserve">Tool Availability Tagging</w:t>
            </w:r>
          </w:p>
        </w:tc>
        <w:tc>
          <w:tcPr>
            <w:tcW w:type="dxa" w:w="626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color w:val="1E2938"/>
                <w:sz w:val="20"/>
                <w:szCs w:val="20"/>
              </w:rPr>
              <w:t xml:space="preserve">Trainers can mark which tools they can bring to a visit location (e.g., "I own a licensed Tableau Developer edition"), which require the host company to provide, and which are available via cloud (no hardware needed).</w:t>
            </w:r>
          </w:p>
        </w:tc>
      </w:tr>
      <w:tr>
        <w:tc>
          <w:tcPr>
            <w:tcW w:type="dxa" w:w="310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b/>
                <w:bCs/>
                <w:color w:val="9C5500"/>
                <w:sz w:val="20"/>
                <w:szCs w:val="20"/>
              </w:rPr>
              <w:t xml:space="preserve">Tool-Visit Matching</w:t>
            </w:r>
          </w:p>
        </w:tc>
        <w:tc>
          <w:tcPr>
            <w:tcW w:type="dxa" w:w="626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color w:val="1E2938"/>
                <w:sz w:val="20"/>
                <w:szCs w:val="20"/>
              </w:rPr>
              <w:t xml:space="preserve">During visit booking, the institute specifies tools they want the trainer to demonstrate. The platform cross-references this requirement with the trainer's tool stack. Mismatches are flagged before booking is confirmed.</w:t>
            </w:r>
          </w:p>
        </w:tc>
      </w:tr>
      <w:tr>
        <w:tc>
          <w:tcPr>
            <w:tcW w:type="dxa" w:w="310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b/>
                <w:bCs/>
                <w:color w:val="9C5500"/>
                <w:sz w:val="20"/>
                <w:szCs w:val="20"/>
              </w:rPr>
              <w:t xml:space="preserve">Emerging Technology Tags</w:t>
            </w:r>
          </w:p>
        </w:tc>
        <w:tc>
          <w:tcPr>
            <w:tcW w:type="dxa" w:w="626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color w:val="1E2938"/>
                <w:sz w:val="20"/>
                <w:szCs w:val="20"/>
              </w:rPr>
              <w:t xml:space="preserve">Special tag category for technologies that do not yet have industry-standard certification: Generative AI tools (ChatGPT API, Stable Diffusion, LangChain), Web3 frameworks, AR/VR training tools. Tagged as "Working Knowledge" with a "Rapidly Evolving Field" disclaimer.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A3A6E" w:val="clear"/>
            <w:tcMar>
              <w:top w:type="dxa" w:w="200"/>
              <w:left w:type="dxa" w:w="100"/>
              <w:bottom w:type="dxa" w:w="200"/>
              <w:right w:type="dxa" w:w="100"/>
            </w:tcMar>
            <w:vAlign w:val="center"/>
          </w:tcPr>
          <w:p>
            <w:pPr>
              <w:jc w:val="center"/>
            </w:pPr>
            <w:r>
              <w:rPr>
                <w:rFonts w:ascii="Calibri" w:cs="Calibri" w:eastAsia="Calibri" w:hAnsi="Calibri"/>
                <w:b/>
                <w:bCs/>
                <w:color w:val="E6B000"/>
                <w:sz w:val="54"/>
                <w:szCs w:val="54"/>
              </w:rPr>
              <w:t xml:space="preserve">F4</w:t>
            </w:r>
          </w:p>
        </w:tc>
        <w:tc>
          <w:tcPr>
            <w:tcW w:type="dxa" w:w="8260"/>
            <w:tcBorders>
              <w:top w:val="none" w:color="FFFFFF" w:sz="0"/>
              <w:left w:val="none" w:color="FFFFFF" w:sz="0"/>
              <w:bottom w:val="none" w:color="FFFFFF" w:sz="0"/>
              <w:right w:val="none" w:color="FFFFFF" w:sz="0"/>
            </w:tcBorders>
            <w:shd w:fill="1A3A6E" w:val="clear"/>
            <w:tcMar>
              <w:top w:type="dxa" w:w="180"/>
              <w:left w:type="dxa" w:w="220"/>
              <w:bottom w:type="dxa" w:w="180"/>
              <w:right w:type="dxa" w:w="120"/>
            </w:tcMar>
          </w:tcPr>
          <w:p>
            <w:r>
              <w:rPr>
                <w:rFonts w:ascii="Calibri" w:cs="Calibri" w:eastAsia="Calibri" w:hAnsi="Calibri"/>
                <w:b/>
                <w:bCs/>
                <w:color w:val="FFFFFF"/>
                <w:sz w:val="36"/>
                <w:szCs w:val="36"/>
              </w:rPr>
              <w:t xml:space="preserve">Experience Timeline</w:t>
            </w:r>
          </w:p>
          <w:p>
            <w:pPr>
              <w:spacing w:before="30" w:after="0"/>
            </w:pPr>
            <w:r>
              <w:rPr>
                <w:rFonts w:ascii="Calibri" w:cs="Calibri" w:eastAsia="Calibri" w:hAnsi="Calibri"/>
                <w:i/>
                <w:iCs/>
                <w:color w:val="CCDAEE"/>
                <w:sz w:val="19"/>
                <w:szCs w:val="19"/>
              </w:rPr>
              <w:t xml:space="preserve">A verified, chronological record of every professional role — the foundation of the trainer's credibility</w:t>
            </w:r>
          </w:p>
        </w:tc>
      </w:tr>
    </w:tbl>
    <w:p>
      <w:pPr>
        <w:spacing w:before="120" w:after="0"/>
      </w:pPr>
      <w:r>
        <w:t xml:space="preserve"/>
      </w:r>
    </w:p>
    <w:p>
      <w:pPr>
        <w:spacing w:before="340" w:after="150"/>
      </w:pPr>
      <w:r>
        <w:rPr>
          <w:rFonts w:ascii="Calibri" w:cs="Calibri" w:eastAsia="Calibri" w:hAnsi="Calibri"/>
          <w:b/>
          <w:bCs/>
          <w:color w:val="1A3A6E"/>
          <w:sz w:val="42"/>
          <w:szCs w:val="42"/>
        </w:rPr>
        <w:t xml:space="preserve">Feature 4: Experience Timeline</w:t>
      </w:r>
    </w:p>
    <w:p>
      <w:pPr>
        <w:pBdr>
          <w:bottom w:val="single" w:color="1A3A6E" w:sz="8"/>
        </w:pBdr>
        <w:spacing w:before="80" w:after="80"/>
      </w:pPr>
      <w:r>
        <w:t xml:space="preserve"/>
      </w:r>
    </w:p>
    <w:p>
      <w:pPr>
        <w:spacing w:before="60" w:after="60"/>
      </w:pPr>
      <w:r>
        <w:rPr>
          <w:rFonts w:ascii="Calibri" w:cs="Calibri" w:eastAsia="Calibri" w:hAnsi="Calibri"/>
          <w:b w:val="false"/>
          <w:bCs w:val="false"/>
          <w:i w:val="false"/>
          <w:iCs w:val="false"/>
          <w:color w:val="1E2938"/>
          <w:sz w:val="21"/>
          <w:szCs w:val="21"/>
        </w:rPr>
        <w:t xml:space="preserve">The Experience Timeline is not a resume — it is a verified, structured record of professional history that forms the backbone of the trainer's credibility on the platform. Every entry is evidence-backed, cross-referenced, and AI-scored. The timeline is designed to be honest: gaps are not hidden, employment types are declared, and the system actively detects inconsistencies between entries.</w:t>
      </w:r>
    </w:p>
    <w:p>
      <w:pPr>
        <w:spacing w:before="80" w:after="0"/>
      </w:pPr>
      <w:r>
        <w:t xml:space="preserve"/>
      </w:r>
    </w:p>
    <w:p>
      <w:pPr>
        <w:spacing w:before="260" w:after="110"/>
      </w:pPr>
      <w:r>
        <w:rPr>
          <w:rFonts w:ascii="Calibri" w:cs="Calibri" w:eastAsia="Calibri" w:hAnsi="Calibri"/>
          <w:b/>
          <w:bCs/>
          <w:color w:val="9C5500"/>
          <w:sz w:val="31"/>
          <w:szCs w:val="31"/>
        </w:rPr>
        <w:t xml:space="preserve">4.1 Experience Entry — All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3C8D3" w:sz="1"/>
              <w:left w:val="single" w:color="C3C8D3" w:sz="1"/>
              <w:bottom w:val="single" w:color="C3C8D3" w:sz="1"/>
              <w:right w:val="single" w:color="C3C8D3" w:sz="1"/>
            </w:tcBorders>
            <w:shd w:fill="1A3A6E" w:val="clear"/>
            <w:tcMar>
              <w:top w:type="dxa" w:w="110"/>
              <w:left w:type="dxa" w:w="140"/>
              <w:bottom w:type="dxa" w:w="110"/>
              <w:right w:type="dxa" w:w="140"/>
            </w:tcMar>
          </w:tcPr>
          <w:p>
            <w:pPr>
              <w:jc w:val="center"/>
            </w:pPr>
            <w:r>
              <w:rPr>
                <w:rFonts w:ascii="Calibri" w:cs="Calibri" w:eastAsia="Calibri" w:hAnsi="Calibri"/>
                <w:b/>
                <w:bCs/>
                <w:color w:val="FFFFFF"/>
                <w:sz w:val="19"/>
                <w:szCs w:val="19"/>
              </w:rPr>
              <w:t xml:space="preserve">Field / Element</w:t>
            </w:r>
          </w:p>
        </w:tc>
        <w:tc>
          <w:tcPr>
            <w:tcW w:type="dxa" w:w="2600"/>
            <w:tcBorders>
              <w:top w:val="single" w:color="C3C8D3" w:sz="1"/>
              <w:left w:val="single" w:color="C3C8D3" w:sz="1"/>
              <w:bottom w:val="single" w:color="C3C8D3" w:sz="1"/>
              <w:right w:val="single" w:color="C3C8D3" w:sz="1"/>
            </w:tcBorders>
            <w:shd w:fill="1A3A6E" w:val="clear"/>
            <w:tcMar>
              <w:top w:type="dxa" w:w="110"/>
              <w:left w:type="dxa" w:w="140"/>
              <w:bottom w:type="dxa" w:w="110"/>
              <w:right w:type="dxa" w:w="140"/>
            </w:tcMar>
          </w:tcPr>
          <w:p>
            <w:pPr>
              <w:jc w:val="center"/>
            </w:pPr>
            <w:r>
              <w:rPr>
                <w:rFonts w:ascii="Calibri" w:cs="Calibri" w:eastAsia="Calibri" w:hAnsi="Calibri"/>
                <w:b/>
                <w:bCs/>
                <w:color w:val="FFFFFF"/>
                <w:sz w:val="19"/>
                <w:szCs w:val="19"/>
              </w:rPr>
              <w:t xml:space="preserve">Data Type &amp; Constraints</w:t>
            </w:r>
          </w:p>
        </w:tc>
        <w:tc>
          <w:tcPr>
            <w:tcW w:type="dxa" w:w="4560"/>
            <w:tcBorders>
              <w:top w:val="single" w:color="C3C8D3" w:sz="1"/>
              <w:left w:val="single" w:color="C3C8D3" w:sz="1"/>
              <w:bottom w:val="single" w:color="C3C8D3" w:sz="1"/>
              <w:right w:val="single" w:color="C3C8D3" w:sz="1"/>
            </w:tcBorders>
            <w:shd w:fill="1A3A6E" w:val="clear"/>
            <w:tcMar>
              <w:top w:type="dxa" w:w="110"/>
              <w:left w:type="dxa" w:w="140"/>
              <w:bottom w:type="dxa" w:w="110"/>
              <w:right w:type="dxa" w:w="140"/>
            </w:tcMar>
          </w:tcPr>
          <w:p>
            <w:pPr>
              <w:jc w:val="center"/>
            </w:pPr>
            <w:r>
              <w:rPr>
                <w:rFonts w:ascii="Calibri" w:cs="Calibri" w:eastAsia="Calibri" w:hAnsi="Calibri"/>
                <w:b/>
                <w:bCs/>
                <w:color w:val="FFFFFF"/>
                <w:sz w:val="19"/>
                <w:szCs w:val="19"/>
              </w:rPr>
              <w:t xml:space="preserve">Purpose &amp; Business Logic</w:t>
            </w:r>
          </w:p>
        </w:tc>
      </w:tr>
      <w:tr>
        <w:tc>
          <w:tcPr>
            <w:tcW w:type="dxa" w:w="22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bCs/>
                <w:color w:val="0B1E38"/>
                <w:sz w:val="19"/>
                <w:szCs w:val="19"/>
              </w:rPr>
              <w:t xml:space="preserve">Organization Name</w:t>
            </w:r>
          </w:p>
        </w:tc>
        <w:tc>
          <w:tcPr>
            <w:tcW w:type="dxa" w:w="26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Text with auto-complete from platform company database. If not found: free entry, flagged for manual cross-check against MCA/GSTN/LinkedIn.</w:t>
            </w:r>
          </w:p>
        </w:tc>
        <w:tc>
          <w:tcPr>
            <w:tcW w:type="dxa" w:w="456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Company name standardization prevents duplicate entries for the same employer (e.g., "TCS", "Tata Consultancy Services", "TCS India" all normalized to one canonical name).</w:t>
            </w:r>
          </w:p>
        </w:tc>
      </w:tr>
      <w:tr>
        <w:tc>
          <w:tcPr>
            <w:tcW w:type="dxa" w:w="22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bCs/>
                <w:color w:val="0B1E38"/>
                <w:sz w:val="19"/>
                <w:szCs w:val="19"/>
              </w:rPr>
              <w:t xml:space="preserve">Employment Type</w:t>
            </w:r>
          </w:p>
        </w:tc>
        <w:tc>
          <w:tcPr>
            <w:tcW w:type="dxa" w:w="26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Dropdown: Full-Time Employee / Part-Time Employee / Contract / Freelance / Consultant / Internship / Founder/Co-Founder.</w:t>
            </w:r>
          </w:p>
        </w:tc>
        <w:tc>
          <w:tcPr>
            <w:tcW w:type="dxa" w:w="456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Different employment types require different verification documents. Full-time = payslips + appointment + relieving. Freelance = signed contract + client reference. Each type has a defined evidence requirement.</w:t>
            </w:r>
          </w:p>
        </w:tc>
      </w:tr>
      <w:tr>
        <w:tc>
          <w:tcPr>
            <w:tcW w:type="dxa" w:w="22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bCs/>
                <w:color w:val="0B1E38"/>
                <w:sz w:val="19"/>
                <w:szCs w:val="19"/>
              </w:rPr>
              <w:t xml:space="preserve">Designation / Job Title</w:t>
            </w:r>
          </w:p>
        </w:tc>
        <w:tc>
          <w:tcPr>
            <w:tcW w:type="dxa" w:w="26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Free text, max 80 characters. Cross-validated against LinkedIn profile and submitted appointment letter.</w:t>
            </w:r>
          </w:p>
        </w:tc>
        <w:tc>
          <w:tcPr>
            <w:tcW w:type="dxa" w:w="456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Job title appears on the timeline card. Significantly inflated titles flagged for review (e.g., "Chief Architect" at a 10-person startup requires more scrutiny than the same title at a known enterprise).</w:t>
            </w:r>
          </w:p>
        </w:tc>
      </w:tr>
      <w:tr>
        <w:tc>
          <w:tcPr>
            <w:tcW w:type="dxa" w:w="22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bCs/>
                <w:color w:val="0B1E38"/>
                <w:sz w:val="19"/>
                <w:szCs w:val="19"/>
              </w:rPr>
              <w:t xml:space="preserve">Department / Business Unit</w:t>
            </w:r>
          </w:p>
        </w:tc>
        <w:tc>
          <w:tcPr>
            <w:tcW w:type="dxa" w:w="26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Optional free text. Example: "Engineering Excellence &amp; Lean Manufacturing", "Global IT Infrastructure Security."</w:t>
            </w:r>
          </w:p>
        </w:tc>
        <w:tc>
          <w:tcPr>
            <w:tcW w:type="dxa" w:w="456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Provides industry context that pure job titles miss. Used for domain depth scoring and subject matter expertise tag generation.</w:t>
            </w:r>
          </w:p>
        </w:tc>
      </w:tr>
      <w:tr>
        <w:tc>
          <w:tcPr>
            <w:tcW w:type="dxa" w:w="22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bCs/>
                <w:color w:val="0B1E38"/>
                <w:sz w:val="19"/>
                <w:szCs w:val="19"/>
              </w:rPr>
              <w:t xml:space="preserve">Start Date</w:t>
            </w:r>
          </w:p>
        </w:tc>
        <w:tc>
          <w:tcPr>
            <w:tcW w:type="dxa" w:w="26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Month + Year picker. Must be after Date of Birth by at least 18 years.</w:t>
            </w:r>
          </w:p>
        </w:tc>
        <w:tc>
          <w:tcPr>
            <w:tcW w:type="dxa" w:w="456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Chronological validation: start dates that create implausible overlaps with other verified entries trigger an inconsistency alert.</w:t>
            </w:r>
          </w:p>
        </w:tc>
      </w:tr>
      <w:tr>
        <w:tc>
          <w:tcPr>
            <w:tcW w:type="dxa" w:w="22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bCs/>
                <w:color w:val="0B1E38"/>
                <w:sz w:val="19"/>
                <w:szCs w:val="19"/>
              </w:rPr>
              <w:t xml:space="preserve">End Date / Current</w:t>
            </w:r>
          </w:p>
        </w:tc>
        <w:tc>
          <w:tcPr>
            <w:tcW w:type="dxa" w:w="26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Month + Year picker or "I currently work here" toggle.</w:t>
            </w:r>
          </w:p>
        </w:tc>
        <w:tc>
          <w:tcPr>
            <w:tcW w:type="dxa" w:w="456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Current roles validated against the most recent payslip date (within 60 days). If the most recent payslip is more than 60 days old, the "Currently Working" status is flagged for confirmation.</w:t>
            </w:r>
          </w:p>
        </w:tc>
      </w:tr>
      <w:tr>
        <w:tc>
          <w:tcPr>
            <w:tcW w:type="dxa" w:w="22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bCs/>
                <w:color w:val="0B1E38"/>
                <w:sz w:val="19"/>
                <w:szCs w:val="19"/>
              </w:rPr>
              <w:t xml:space="preserve">Key Responsibilities</w:t>
            </w:r>
          </w:p>
        </w:tc>
        <w:tc>
          <w:tcPr>
            <w:tcW w:type="dxa" w:w="26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Rich text, max 800 words. AI analyzes for: domain relevance, specificity, keyword density for claimed sub-domains, and plagiarism against generic job description templates.</w:t>
            </w:r>
          </w:p>
        </w:tc>
        <w:tc>
          <w:tcPr>
            <w:tcW w:type="dxa" w:w="456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The most important free-text field for domain tag scoring. Generic, copy-pasted JD language reduces the AI confidence score for related domain tags. Specific, first-person descriptions increase it.</w:t>
            </w:r>
          </w:p>
        </w:tc>
      </w:tr>
      <w:tr>
        <w:tc>
          <w:tcPr>
            <w:tcW w:type="dxa" w:w="22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bCs/>
                <w:color w:val="0B1E38"/>
                <w:sz w:val="19"/>
                <w:szCs w:val="19"/>
              </w:rPr>
              <w:t xml:space="preserve">Skills Applied</w:t>
            </w:r>
          </w:p>
        </w:tc>
        <w:tc>
          <w:tcPr>
            <w:tcW w:type="dxa" w:w="26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Multi-select from the trainer's declared skill list. Marks which skills were actively used in this role.</w:t>
            </w:r>
          </w:p>
        </w:tc>
        <w:tc>
          <w:tcPr>
            <w:tcW w:type="dxa" w:w="456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Creates verified associations between skills and employers. "Data Engineering" verified at Google vs. at a 5-person startup carries different weight — both legitimate, but context matters.</w:t>
            </w:r>
          </w:p>
        </w:tc>
      </w:tr>
      <w:tr>
        <w:tc>
          <w:tcPr>
            <w:tcW w:type="dxa" w:w="22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bCs/>
                <w:color w:val="0B1E38"/>
                <w:sz w:val="19"/>
                <w:szCs w:val="19"/>
              </w:rPr>
              <w:t xml:space="preserve">Key Achievements</w:t>
            </w:r>
          </w:p>
        </w:tc>
        <w:tc>
          <w:tcPr>
            <w:tcW w:type="dxa" w:w="26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Optional. Up to 5 bullet points. Quantified achievements preferred: "Led Lean transformation saving ₹1.2 Cr/year", "Trained 500+ engineers across 8 plants in Six Sigma Green Belt."</w:t>
            </w:r>
          </w:p>
        </w:tc>
        <w:tc>
          <w:tcPr>
            <w:tcW w:type="dxa" w:w="456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Achievements are the most persuasive element for premium booking decisions. AI scores specificity and quantification. Vague achievements ("Led multiple projects") are scored lower than quantified ones.</w:t>
            </w:r>
          </w:p>
        </w:tc>
      </w:tr>
      <w:tr>
        <w:tc>
          <w:tcPr>
            <w:tcW w:type="dxa" w:w="22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bCs/>
                <w:color w:val="0B1E38"/>
                <w:sz w:val="19"/>
                <w:szCs w:val="19"/>
              </w:rPr>
              <w:t xml:space="preserve">Location</w:t>
            </w:r>
          </w:p>
        </w:tc>
        <w:tc>
          <w:tcPr>
            <w:tcW w:type="dxa" w:w="26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City + Country of workplace.</w:t>
            </w:r>
          </w:p>
        </w:tc>
        <w:tc>
          <w:tcPr>
            <w:tcW w:type="dxa" w:w="456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Cross-referenced with trainer's registered address and travel history for consistency. International experience is highlighted as a premium signal.</w:t>
            </w:r>
          </w:p>
        </w:tc>
      </w:tr>
      <w:tr>
        <w:tc>
          <w:tcPr>
            <w:tcW w:type="dxa" w:w="22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bCs/>
                <w:color w:val="0B1E38"/>
                <w:sz w:val="19"/>
                <w:szCs w:val="19"/>
              </w:rPr>
              <w:t xml:space="preserve">Verification Status</w:t>
            </w:r>
          </w:p>
        </w:tc>
        <w:tc>
          <w:tcPr>
            <w:tcW w:type="dxa" w:w="26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System-generated based on submitted documents. States: Fully Verified / Verified with LinkedIn / Partially Verified / Pending / Unverified.</w:t>
            </w:r>
          </w:p>
        </w:tc>
        <w:tc>
          <w:tcPr>
            <w:tcW w:type="dxa" w:w="456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Displayed inline on each timeline entry. Institutes see immediately which roles are confirmed and which are claimed.</w:t>
            </w:r>
          </w:p>
        </w:tc>
      </w:tr>
      <w:tr>
        <w:tc>
          <w:tcPr>
            <w:tcW w:type="dxa" w:w="22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bCs/>
                <w:color w:val="0B1E38"/>
                <w:sz w:val="19"/>
                <w:szCs w:val="19"/>
              </w:rPr>
              <w:t xml:space="preserve">Evidence Documents</w:t>
            </w:r>
          </w:p>
        </w:tc>
        <w:tc>
          <w:tcPr>
            <w:tcW w:type="dxa" w:w="26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Upload links (appointment letter, payslip, relieving letter, etc.) — not publicly visible but viewable by verification team.</w:t>
            </w:r>
          </w:p>
        </w:tc>
        <w:tc>
          <w:tcPr>
            <w:tcW w:type="dxa" w:w="456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Backend audit trail. Public profile shows verification status, not the documents themselves.</w:t>
            </w:r>
          </w:p>
        </w:tc>
      </w:tr>
    </w:tbl>
    <w:p>
      <w:pPr>
        <w:spacing w:before="100" w:after="0"/>
      </w:pPr>
      <w:r>
        <w:t xml:space="preserve"/>
      </w:r>
    </w:p>
    <w:p>
      <w:pPr>
        <w:spacing w:before="260" w:after="110"/>
      </w:pPr>
      <w:r>
        <w:rPr>
          <w:rFonts w:ascii="Calibri" w:cs="Calibri" w:eastAsia="Calibri" w:hAnsi="Calibri"/>
          <w:b/>
          <w:bCs/>
          <w:color w:val="1A3A6E"/>
          <w:sz w:val="31"/>
          <w:szCs w:val="31"/>
        </w:rPr>
        <w:t xml:space="preserve">4.2 Timeline Visualization on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b/>
                <w:bCs/>
                <w:color w:val="1A3A6E"/>
                <w:sz w:val="20"/>
                <w:szCs w:val="20"/>
              </w:rPr>
              <w:t xml:space="preserve">Chronological Display</w:t>
            </w:r>
          </w:p>
        </w:tc>
        <w:tc>
          <w:tcPr>
            <w:tcW w:type="dxa" w:w="626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color w:val="1E2938"/>
                <w:sz w:val="20"/>
                <w:szCs w:val="20"/>
              </w:rPr>
              <w:t xml:space="preserve">Entries displayed in reverse-chronological order (most recent first). Each entry shows: company logo (auto-fetched), role title, date range, and employment type badge. Expandable for full details.</w:t>
            </w:r>
          </w:p>
        </w:tc>
      </w:tr>
      <w:tr>
        <w:tc>
          <w:tcPr>
            <w:tcW w:type="dxa" w:w="310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b/>
                <w:bCs/>
                <w:color w:val="1A3A6E"/>
                <w:sz w:val="20"/>
                <w:szCs w:val="20"/>
              </w:rPr>
              <w:t xml:space="preserve">Verification Badge Inline</w:t>
            </w:r>
          </w:p>
        </w:tc>
        <w:tc>
          <w:tcPr>
            <w:tcW w:type="dxa" w:w="626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color w:val="1E2938"/>
                <w:sz w:val="20"/>
                <w:szCs w:val="20"/>
              </w:rPr>
              <w:t xml:space="preserve">Each timeline entry shows its verification state as a colored badge: Green checkmark = Fully Verified, Blue = LinkedIn-verified, Yellow = Partially Verified, Grey = Pending, Outline = Unverified.</w:t>
            </w:r>
          </w:p>
        </w:tc>
      </w:tr>
      <w:tr>
        <w:tc>
          <w:tcPr>
            <w:tcW w:type="dxa" w:w="310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b/>
                <w:bCs/>
                <w:color w:val="1A3A6E"/>
                <w:sz w:val="20"/>
                <w:szCs w:val="20"/>
              </w:rPr>
              <w:t xml:space="preserve">Gap Visualization</w:t>
            </w:r>
          </w:p>
        </w:tc>
        <w:tc>
          <w:tcPr>
            <w:tcW w:type="dxa" w:w="626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color w:val="1E2938"/>
                <w:sz w:val="20"/>
                <w:szCs w:val="20"/>
              </w:rPr>
              <w:t xml:space="preserve">Employment gaps of more than 6 months are shown as a distinct "gap" bar in the timeline. Trainer can add context: "Career Break for Higher Education", "Sabbatical", "Family Responsibilities". Unexplained gaps are noted transparently.</w:t>
            </w:r>
          </w:p>
        </w:tc>
      </w:tr>
      <w:tr>
        <w:tc>
          <w:tcPr>
            <w:tcW w:type="dxa" w:w="310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b/>
                <w:bCs/>
                <w:color w:val="1A3A6E"/>
                <w:sz w:val="20"/>
                <w:szCs w:val="20"/>
              </w:rPr>
              <w:t xml:space="preserve">Total Experience Calculator</w:t>
            </w:r>
          </w:p>
        </w:tc>
        <w:tc>
          <w:tcPr>
            <w:tcW w:type="dxa" w:w="626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color w:val="1E2938"/>
                <w:sz w:val="20"/>
                <w:szCs w:val="20"/>
              </w:rPr>
              <w:t xml:space="preserve">System automatically calculates total years of verified experience, total years of industry experience (excluding gaps), and years per primary domain. These figures appear in the profile header.</w:t>
            </w:r>
          </w:p>
        </w:tc>
      </w:tr>
      <w:tr>
        <w:tc>
          <w:tcPr>
            <w:tcW w:type="dxa" w:w="310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b/>
                <w:bCs/>
                <w:color w:val="1A3A6E"/>
                <w:sz w:val="20"/>
                <w:szCs w:val="20"/>
              </w:rPr>
              <w:t xml:space="preserve">Domain Color Coding</w:t>
            </w:r>
          </w:p>
        </w:tc>
        <w:tc>
          <w:tcPr>
            <w:tcW w:type="dxa" w:w="626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color w:val="1E2938"/>
                <w:sz w:val="20"/>
                <w:szCs w:val="20"/>
              </w:rPr>
              <w:t xml:space="preserve">Each timeline entry is color-coded by the domain it maps to. Institutes and students see at a glance which domains dominate the trainer's history. Color coding uses the platform's standard domain palette.</w:t>
            </w:r>
          </w:p>
        </w:tc>
      </w:tr>
      <w:tr>
        <w:tc>
          <w:tcPr>
            <w:tcW w:type="dxa" w:w="310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b/>
                <w:bCs/>
                <w:color w:val="1A3A6E"/>
                <w:sz w:val="20"/>
                <w:szCs w:val="20"/>
              </w:rPr>
              <w:t xml:space="preserve">Pinned / Featured Role</w:t>
            </w:r>
          </w:p>
        </w:tc>
        <w:tc>
          <w:tcPr>
            <w:tcW w:type="dxa" w:w="626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color w:val="1E2938"/>
                <w:sz w:val="20"/>
                <w:szCs w:val="20"/>
              </w:rPr>
              <w:t xml:space="preserve">Trainer can pin one or two roles as "Featured Experience" — shown with a subtle highlight on the timeline. Useful for highlighting the most impressive or relevant position. Pinned roles are shown in the preview card in search results.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3C1870" w:val="clear"/>
            <w:tcMar>
              <w:top w:type="dxa" w:w="200"/>
              <w:left w:type="dxa" w:w="100"/>
              <w:bottom w:type="dxa" w:w="200"/>
              <w:right w:type="dxa" w:w="100"/>
            </w:tcMar>
            <w:vAlign w:val="center"/>
          </w:tcPr>
          <w:p>
            <w:pPr>
              <w:jc w:val="center"/>
            </w:pPr>
            <w:r>
              <w:rPr>
                <w:rFonts w:ascii="Calibri" w:cs="Calibri" w:eastAsia="Calibri" w:hAnsi="Calibri"/>
                <w:b/>
                <w:bCs/>
                <w:color w:val="E6B000"/>
                <w:sz w:val="54"/>
                <w:szCs w:val="54"/>
              </w:rPr>
              <w:t xml:space="preserve">F5</w:t>
            </w:r>
          </w:p>
        </w:tc>
        <w:tc>
          <w:tcPr>
            <w:tcW w:type="dxa" w:w="8260"/>
            <w:tcBorders>
              <w:top w:val="none" w:color="FFFFFF" w:sz="0"/>
              <w:left w:val="none" w:color="FFFFFF" w:sz="0"/>
              <w:bottom w:val="none" w:color="FFFFFF" w:sz="0"/>
              <w:right w:val="none" w:color="FFFFFF" w:sz="0"/>
            </w:tcBorders>
            <w:shd w:fill="3C1870" w:val="clear"/>
            <w:tcMar>
              <w:top w:type="dxa" w:w="180"/>
              <w:left w:type="dxa" w:w="220"/>
              <w:bottom w:type="dxa" w:w="180"/>
              <w:right w:type="dxa" w:w="120"/>
            </w:tcMar>
          </w:tcPr>
          <w:p>
            <w:r>
              <w:rPr>
                <w:rFonts w:ascii="Calibri" w:cs="Calibri" w:eastAsia="Calibri" w:hAnsi="Calibri"/>
                <w:b/>
                <w:bCs/>
                <w:color w:val="FFFFFF"/>
                <w:sz w:val="36"/>
                <w:szCs w:val="36"/>
              </w:rPr>
              <w:t xml:space="preserve">Certifications Upload</w:t>
            </w:r>
          </w:p>
          <w:p>
            <w:pPr>
              <w:spacing w:before="30" w:after="0"/>
            </w:pPr>
            <w:r>
              <w:rPr>
                <w:rFonts w:ascii="Calibri" w:cs="Calibri" w:eastAsia="Calibri" w:hAnsi="Calibri"/>
                <w:i/>
                <w:iCs/>
                <w:color w:val="CCDAEE"/>
                <w:sz w:val="19"/>
                <w:szCs w:val="19"/>
              </w:rPr>
              <w:t xml:space="preserve">A structured, verification-integrated system for uploading, displaying, and maintaining professional certifications</w:t>
            </w:r>
          </w:p>
        </w:tc>
      </w:tr>
    </w:tbl>
    <w:p>
      <w:pPr>
        <w:spacing w:before="120" w:after="0"/>
      </w:pPr>
      <w:r>
        <w:t xml:space="preserve"/>
      </w:r>
    </w:p>
    <w:p>
      <w:pPr>
        <w:spacing w:before="340" w:after="150"/>
      </w:pPr>
      <w:r>
        <w:rPr>
          <w:rFonts w:ascii="Calibri" w:cs="Calibri" w:eastAsia="Calibri" w:hAnsi="Calibri"/>
          <w:b/>
          <w:bCs/>
          <w:color w:val="3C1870"/>
          <w:sz w:val="42"/>
          <w:szCs w:val="42"/>
        </w:rPr>
        <w:t xml:space="preserve">Feature 5: Certifications Upload</w:t>
      </w:r>
    </w:p>
    <w:p>
      <w:pPr>
        <w:pBdr>
          <w:bottom w:val="single" w:color="3C1870" w:sz="8"/>
        </w:pBdr>
        <w:spacing w:before="80" w:after="80"/>
      </w:pPr>
      <w:r>
        <w:t xml:space="preserve"/>
      </w:r>
    </w:p>
    <w:p>
      <w:pPr>
        <w:spacing w:before="60" w:after="60"/>
      </w:pPr>
      <w:r>
        <w:rPr>
          <w:rFonts w:ascii="Calibri" w:cs="Calibri" w:eastAsia="Calibri" w:hAnsi="Calibri"/>
          <w:b w:val="false"/>
          <w:bCs w:val="false"/>
          <w:i w:val="false"/>
          <w:iCs w:val="false"/>
          <w:color w:val="1E2938"/>
          <w:sz w:val="21"/>
          <w:szCs w:val="21"/>
        </w:rPr>
        <w:t xml:space="preserve">The Certifications Upload system is far more than a document storage area. It is an integrated verification pipeline that connects uploaded certificates to real-world issuer databases, tracks expiry dates, enforces display rules, and generates queryable verification links. Every certification on an ECOSKILLER trainer profile either has a verification status of Confirmed, Pending, or Failed — there is no ambiguity.</w:t>
      </w:r>
    </w:p>
    <w:p>
      <w:pPr>
        <w:spacing w:before="80" w:after="0"/>
      </w:pPr>
      <w:r>
        <w:t xml:space="preserve"/>
      </w:r>
    </w:p>
    <w:p>
      <w:pPr>
        <w:spacing w:before="260" w:after="110"/>
      </w:pPr>
      <w:r>
        <w:rPr>
          <w:rFonts w:ascii="Calibri" w:cs="Calibri" w:eastAsia="Calibri" w:hAnsi="Calibri"/>
          <w:b/>
          <w:bCs/>
          <w:color w:val="9C5500"/>
          <w:sz w:val="31"/>
          <w:szCs w:val="31"/>
        </w:rPr>
        <w:t xml:space="preserve">5.1 Certification Entry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3C8D3" w:sz="1"/>
              <w:left w:val="single" w:color="C3C8D3" w:sz="1"/>
              <w:bottom w:val="single" w:color="C3C8D3" w:sz="1"/>
              <w:right w:val="single" w:color="C3C8D3" w:sz="1"/>
            </w:tcBorders>
            <w:shd w:fill="3C1870" w:val="clear"/>
            <w:tcMar>
              <w:top w:type="dxa" w:w="110"/>
              <w:left w:type="dxa" w:w="140"/>
              <w:bottom w:type="dxa" w:w="110"/>
              <w:right w:type="dxa" w:w="140"/>
            </w:tcMar>
          </w:tcPr>
          <w:p>
            <w:pPr>
              <w:jc w:val="center"/>
            </w:pPr>
            <w:r>
              <w:rPr>
                <w:rFonts w:ascii="Calibri" w:cs="Calibri" w:eastAsia="Calibri" w:hAnsi="Calibri"/>
                <w:b/>
                <w:bCs/>
                <w:color w:val="FFFFFF"/>
                <w:sz w:val="19"/>
                <w:szCs w:val="19"/>
              </w:rPr>
              <w:t xml:space="preserve">Field / Element</w:t>
            </w:r>
          </w:p>
        </w:tc>
        <w:tc>
          <w:tcPr>
            <w:tcW w:type="dxa" w:w="2600"/>
            <w:tcBorders>
              <w:top w:val="single" w:color="C3C8D3" w:sz="1"/>
              <w:left w:val="single" w:color="C3C8D3" w:sz="1"/>
              <w:bottom w:val="single" w:color="C3C8D3" w:sz="1"/>
              <w:right w:val="single" w:color="C3C8D3" w:sz="1"/>
            </w:tcBorders>
            <w:shd w:fill="3C1870" w:val="clear"/>
            <w:tcMar>
              <w:top w:type="dxa" w:w="110"/>
              <w:left w:type="dxa" w:w="140"/>
              <w:bottom w:type="dxa" w:w="110"/>
              <w:right w:type="dxa" w:w="140"/>
            </w:tcMar>
          </w:tcPr>
          <w:p>
            <w:pPr>
              <w:jc w:val="center"/>
            </w:pPr>
            <w:r>
              <w:rPr>
                <w:rFonts w:ascii="Calibri" w:cs="Calibri" w:eastAsia="Calibri" w:hAnsi="Calibri"/>
                <w:b/>
                <w:bCs/>
                <w:color w:val="FFFFFF"/>
                <w:sz w:val="19"/>
                <w:szCs w:val="19"/>
              </w:rPr>
              <w:t xml:space="preserve">Data Type &amp; Constraints</w:t>
            </w:r>
          </w:p>
        </w:tc>
        <w:tc>
          <w:tcPr>
            <w:tcW w:type="dxa" w:w="4560"/>
            <w:tcBorders>
              <w:top w:val="single" w:color="C3C8D3" w:sz="1"/>
              <w:left w:val="single" w:color="C3C8D3" w:sz="1"/>
              <w:bottom w:val="single" w:color="C3C8D3" w:sz="1"/>
              <w:right w:val="single" w:color="C3C8D3" w:sz="1"/>
            </w:tcBorders>
            <w:shd w:fill="3C1870" w:val="clear"/>
            <w:tcMar>
              <w:top w:type="dxa" w:w="110"/>
              <w:left w:type="dxa" w:w="140"/>
              <w:bottom w:type="dxa" w:w="110"/>
              <w:right w:type="dxa" w:w="140"/>
            </w:tcMar>
          </w:tcPr>
          <w:p>
            <w:pPr>
              <w:jc w:val="center"/>
            </w:pPr>
            <w:r>
              <w:rPr>
                <w:rFonts w:ascii="Calibri" w:cs="Calibri" w:eastAsia="Calibri" w:hAnsi="Calibri"/>
                <w:b/>
                <w:bCs/>
                <w:color w:val="FFFFFF"/>
                <w:sz w:val="19"/>
                <w:szCs w:val="19"/>
              </w:rPr>
              <w:t xml:space="preserve">Purpose &amp; Business Logic</w:t>
            </w:r>
          </w:p>
        </w:tc>
      </w:tr>
      <w:tr>
        <w:tc>
          <w:tcPr>
            <w:tcW w:type="dxa" w:w="22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bCs/>
                <w:color w:val="0B1E38"/>
                <w:sz w:val="19"/>
                <w:szCs w:val="19"/>
              </w:rPr>
              <w:t xml:space="preserve">Certification Name</w:t>
            </w:r>
          </w:p>
        </w:tc>
        <w:tc>
          <w:tcPr>
            <w:tcW w:type="dxa" w:w="26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Text with auto-complete from platform certification library (2000+ known certs). Unrecognized names flagged for taxonomy review.</w:t>
            </w:r>
          </w:p>
        </w:tc>
        <w:tc>
          <w:tcPr>
            <w:tcW w:type="dxa" w:w="456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Standardized names prevent variations of the same certification appearing as different entries. "AWS Certified Solutions Architect – Professional" always maps to the same canonical record.</w:t>
            </w:r>
          </w:p>
        </w:tc>
      </w:tr>
      <w:tr>
        <w:tc>
          <w:tcPr>
            <w:tcW w:type="dxa" w:w="22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bCs/>
                <w:color w:val="0B1E38"/>
                <w:sz w:val="19"/>
                <w:szCs w:val="19"/>
              </w:rPr>
              <w:t xml:space="preserve">Issuing Organization</w:t>
            </w:r>
          </w:p>
        </w:tc>
        <w:tc>
          <w:tcPr>
            <w:tcW w:type="dxa" w:w="26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Auto-filled from certification library. Manual entry for unrecognized issuers.</w:t>
            </w:r>
          </w:p>
        </w:tc>
        <w:tc>
          <w:tcPr>
            <w:tcW w:type="dxa" w:w="456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Issuer name used to determine verification method (API, web automation, or document review). Known issuers have defined verification pathways.</w:t>
            </w:r>
          </w:p>
        </w:tc>
      </w:tr>
      <w:tr>
        <w:tc>
          <w:tcPr>
            <w:tcW w:type="dxa" w:w="22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bCs/>
                <w:color w:val="0B1E38"/>
                <w:sz w:val="19"/>
                <w:szCs w:val="19"/>
              </w:rPr>
              <w:t xml:space="preserve">Certification Number / ID</w:t>
            </w:r>
          </w:p>
        </w:tc>
        <w:tc>
          <w:tcPr>
            <w:tcW w:type="dxa" w:w="26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Alphanumeric. Format validated against known issuer ID patterns (AWS: starts with "AWS-", PMP: 7 digits, CFA: starts with "CFA-", etc.).</w:t>
            </w:r>
          </w:p>
        </w:tc>
        <w:tc>
          <w:tcPr>
            <w:tcW w:type="dxa" w:w="456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Format validation catches copy-paste errors and obvious forgeries before any verification API is called.</w:t>
            </w:r>
          </w:p>
        </w:tc>
      </w:tr>
      <w:tr>
        <w:tc>
          <w:tcPr>
            <w:tcW w:type="dxa" w:w="22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bCs/>
                <w:color w:val="0B1E38"/>
                <w:sz w:val="19"/>
                <w:szCs w:val="19"/>
              </w:rPr>
              <w:t xml:space="preserve">Issue Date</w:t>
            </w:r>
          </w:p>
        </w:tc>
        <w:tc>
          <w:tcPr>
            <w:tcW w:type="dxa" w:w="26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Month + Year picker.</w:t>
            </w:r>
          </w:p>
        </w:tc>
        <w:tc>
          <w:tcPr>
            <w:tcW w:type="dxa" w:w="456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Cross-referenced with stated experience: a certification issued in a domain before any related experience raises an AI flag for review.</w:t>
            </w:r>
          </w:p>
        </w:tc>
      </w:tr>
      <w:tr>
        <w:tc>
          <w:tcPr>
            <w:tcW w:type="dxa" w:w="22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bCs/>
                <w:color w:val="0B1E38"/>
                <w:sz w:val="19"/>
                <w:szCs w:val="19"/>
              </w:rPr>
              <w:t xml:space="preserve">Expiry Date / No Expiry</w:t>
            </w:r>
          </w:p>
        </w:tc>
        <w:tc>
          <w:tcPr>
            <w:tcW w:type="dxa" w:w="26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Month + Year picker or "No Expiry" toggle. System enforces: No Expiry is only allowed for certifications the platform knows do not expire (e.g., CFA charterholder, CA membership). Others require an expiry date.</w:t>
            </w:r>
          </w:p>
        </w:tc>
        <w:tc>
          <w:tcPr>
            <w:tcW w:type="dxa" w:w="456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Expired certifications are automatically downgraded on the profile. Tracking expiry enables renewal reminders 90/60/30 days before.</w:t>
            </w:r>
          </w:p>
        </w:tc>
      </w:tr>
      <w:tr>
        <w:tc>
          <w:tcPr>
            <w:tcW w:type="dxa" w:w="22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bCs/>
                <w:color w:val="0B1E38"/>
                <w:sz w:val="19"/>
                <w:szCs w:val="19"/>
              </w:rPr>
              <w:t xml:space="preserve">Certificate Image / PDF</w:t>
            </w:r>
          </w:p>
        </w:tc>
        <w:tc>
          <w:tcPr>
            <w:tcW w:type="dxa" w:w="26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Upload field. JPEG/PNG/PDF, max 10MB. System runs AI tamper detection on upload. Metadata extracted automatically.</w:t>
            </w:r>
          </w:p>
        </w:tc>
        <w:tc>
          <w:tcPr>
            <w:tcW w:type="dxa" w:w="456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Document stored securely in the verification vault. Not publicly displayed but viewable by the verification team and auditors.</w:t>
            </w:r>
          </w:p>
        </w:tc>
      </w:tr>
      <w:tr>
        <w:tc>
          <w:tcPr>
            <w:tcW w:type="dxa" w:w="22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bCs/>
                <w:color w:val="0B1E38"/>
                <w:sz w:val="19"/>
                <w:szCs w:val="19"/>
              </w:rPr>
              <w:t xml:space="preserve">Verification Status</w:t>
            </w:r>
          </w:p>
        </w:tc>
        <w:tc>
          <w:tcPr>
            <w:tcW w:type="dxa" w:w="26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System-generated. States: API-Verified (real-time), Document-Verified (human reviewed), Pending (in queue), Expired (was valid, now past expiry), Failed (could not be verified), Disputed.</w:t>
            </w:r>
          </w:p>
        </w:tc>
        <w:tc>
          <w:tcPr>
            <w:tcW w:type="dxa" w:w="456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Shown on the public profile certification card. Each state has a distinct visual treatment.</w:t>
            </w:r>
          </w:p>
        </w:tc>
      </w:tr>
      <w:tr>
        <w:tc>
          <w:tcPr>
            <w:tcW w:type="dxa" w:w="22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bCs/>
                <w:color w:val="0B1E38"/>
                <w:sz w:val="19"/>
                <w:szCs w:val="19"/>
              </w:rPr>
              <w:t xml:space="preserve">Verification Method Used</w:t>
            </w:r>
          </w:p>
        </w:tc>
        <w:tc>
          <w:tcPr>
            <w:tcW w:type="dxa" w:w="26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System-generated audit log. Shown to trainer in their management panel.</w:t>
            </w:r>
          </w:p>
        </w:tc>
        <w:tc>
          <w:tcPr>
            <w:tcW w:type="dxa" w:w="456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Transparency into how each cert was verified. Trainers can see: "This was verified via the PMP online registry on [date]."</w:t>
            </w:r>
          </w:p>
        </w:tc>
      </w:tr>
      <w:tr>
        <w:tc>
          <w:tcPr>
            <w:tcW w:type="dxa" w:w="22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bCs/>
                <w:color w:val="0B1E38"/>
                <w:sz w:val="19"/>
                <w:szCs w:val="19"/>
              </w:rPr>
              <w:t xml:space="preserve">Continuing Education Credits (CEU)</w:t>
            </w:r>
          </w:p>
        </w:tc>
        <w:tc>
          <w:tcPr>
            <w:tcW w:type="dxa" w:w="26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Optional. For certifications with ongoing education requirements: trainer can log CEU hours completed.</w:t>
            </w:r>
          </w:p>
        </w:tc>
        <w:tc>
          <w:tcPr>
            <w:tcW w:type="dxa" w:w="456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Some certification bodies require documented CEU for renewal. Platform tracking reduces renewal failure risk.</w:t>
            </w:r>
          </w:p>
        </w:tc>
      </w:tr>
      <w:tr>
        <w:tc>
          <w:tcPr>
            <w:tcW w:type="dxa" w:w="22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bCs/>
                <w:color w:val="0B1E38"/>
                <w:sz w:val="19"/>
                <w:szCs w:val="19"/>
              </w:rPr>
              <w:t xml:space="preserve">Visibility Setting</w:t>
            </w:r>
          </w:p>
        </w:tc>
        <w:tc>
          <w:tcPr>
            <w:tcW w:type="dxa" w:w="26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Toggle: Public (visible to all) / Verified Institutes Only / Hidden (internal only, used for scoring but not displayed).</w:t>
            </w:r>
          </w:p>
        </w:tc>
        <w:tc>
          <w:tcPr>
            <w:tcW w:type="dxa" w:w="456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Trainers may have certifications relevant for verification scoring that they prefer not to display publicly (e.g., a personal finance certification not related to their training domain).</w:t>
            </w:r>
          </w:p>
        </w:tc>
      </w:tr>
    </w:tbl>
    <w:p>
      <w:pPr>
        <w:spacing w:before="100" w:after="0"/>
      </w:pPr>
      <w:r>
        <w:t xml:space="preserve"/>
      </w:r>
    </w:p>
    <w:p>
      <w:pPr>
        <w:spacing w:before="260" w:after="110"/>
      </w:pPr>
      <w:r>
        <w:rPr>
          <w:rFonts w:ascii="Calibri" w:cs="Calibri" w:eastAsia="Calibri" w:hAnsi="Calibri"/>
          <w:b/>
          <w:bCs/>
          <w:color w:val="3C1870"/>
          <w:sz w:val="31"/>
          <w:szCs w:val="31"/>
        </w:rPr>
        <w:t xml:space="preserve">5.2 Certification Display on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b/>
                <w:bCs/>
                <w:color w:val="3C1870"/>
                <w:sz w:val="20"/>
                <w:szCs w:val="20"/>
              </w:rPr>
              <w:t xml:space="preserve">Certification Cards</w:t>
            </w:r>
          </w:p>
        </w:tc>
        <w:tc>
          <w:tcPr>
            <w:tcW w:type="dxa" w:w="626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color w:val="1E2938"/>
                <w:sz w:val="20"/>
                <w:szCs w:val="20"/>
              </w:rPr>
              <w:t xml:space="preserve">Each certification displayed as a structured card: issuer logo, certification name, issuer name, issue/expiry dates, and verification status badge. Consistent design across all certifications regardless of issuer.</w:t>
            </w:r>
          </w:p>
        </w:tc>
      </w:tr>
      <w:tr>
        <w:tc>
          <w:tcPr>
            <w:tcW w:type="dxa" w:w="310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b/>
                <w:bCs/>
                <w:color w:val="3C1870"/>
                <w:sz w:val="20"/>
                <w:szCs w:val="20"/>
              </w:rPr>
              <w:t xml:space="preserve">Verification QR Code</w:t>
            </w:r>
          </w:p>
        </w:tc>
        <w:tc>
          <w:tcPr>
            <w:tcW w:type="dxa" w:w="626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color w:val="1E2938"/>
                <w:sz w:val="20"/>
                <w:szCs w:val="20"/>
              </w:rPr>
              <w:t xml:space="preserve">Each verified certification has a unique QR code. Scanning the QR opens a live verification page showing: certification status, trainer name, issue date, and expiry date. No login required to verify — designed for use at institutes, conference booths, and company reception desks.</w:t>
            </w:r>
          </w:p>
        </w:tc>
      </w:tr>
      <w:tr>
        <w:tc>
          <w:tcPr>
            <w:tcW w:type="dxa" w:w="310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b/>
                <w:bCs/>
                <w:color w:val="3C1870"/>
                <w:sz w:val="20"/>
                <w:szCs w:val="20"/>
              </w:rPr>
              <w:t xml:space="preserve">Grouping by Domain</w:t>
            </w:r>
          </w:p>
        </w:tc>
        <w:tc>
          <w:tcPr>
            <w:tcW w:type="dxa" w:w="626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color w:val="1E2938"/>
                <w:sz w:val="20"/>
                <w:szCs w:val="20"/>
              </w:rPr>
              <w:t xml:space="preserve">Certifications auto-grouped by domain. Institutes browsing a trainer can see at a glance: "This trainer has 4 IT certifications, 2 Manufacturing certifications, and 1 Finance certification."</w:t>
            </w:r>
          </w:p>
        </w:tc>
      </w:tr>
      <w:tr>
        <w:tc>
          <w:tcPr>
            <w:tcW w:type="dxa" w:w="310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b/>
                <w:bCs/>
                <w:color w:val="3C1870"/>
                <w:sz w:val="20"/>
                <w:szCs w:val="20"/>
              </w:rPr>
              <w:t xml:space="preserve">Expiry Alert Display</w:t>
            </w:r>
          </w:p>
        </w:tc>
        <w:tc>
          <w:tcPr>
            <w:tcW w:type="dxa" w:w="626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color w:val="1E2938"/>
                <w:sz w:val="20"/>
                <w:szCs w:val="20"/>
              </w:rPr>
              <w:t xml:space="preserve">Certifications within 90 days of expiry are shown with an amber "Renewing Soon" label. Expired certifications show a red "Expired" label and are moved to a separate section. Both still contribute to verification scoring history.</w:t>
            </w:r>
          </w:p>
        </w:tc>
      </w:tr>
      <w:tr>
        <w:tc>
          <w:tcPr>
            <w:tcW w:type="dxa" w:w="310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b/>
                <w:bCs/>
                <w:color w:val="3C1870"/>
                <w:sz w:val="20"/>
                <w:szCs w:val="20"/>
              </w:rPr>
              <w:t xml:space="preserve">Featured Certification Pins</w:t>
            </w:r>
          </w:p>
        </w:tc>
        <w:tc>
          <w:tcPr>
            <w:tcW w:type="dxa" w:w="626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color w:val="1E2938"/>
                <w:sz w:val="20"/>
                <w:szCs w:val="20"/>
              </w:rPr>
              <w:t xml:space="preserve">Trainer can pin up to 3 certifications as "Featured" — shown prominently in the profile header section alongside the domain badges.</w:t>
            </w:r>
          </w:p>
        </w:tc>
      </w:tr>
      <w:tr>
        <w:tc>
          <w:tcPr>
            <w:tcW w:type="dxa" w:w="310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b/>
                <w:bCs/>
                <w:color w:val="3C1870"/>
                <w:sz w:val="20"/>
                <w:szCs w:val="20"/>
              </w:rPr>
              <w:t xml:space="preserve">Certification Count Signal</w:t>
            </w:r>
          </w:p>
        </w:tc>
        <w:tc>
          <w:tcPr>
            <w:tcW w:type="dxa" w:w="626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color w:val="1E2938"/>
                <w:sz w:val="20"/>
                <w:szCs w:val="20"/>
              </w:rPr>
              <w:t xml:space="preserve">The total count of active verified certifications is shown in the profile header: "12 Verified Certifications." This is a high-level trust signal visible in search results.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4512E" w:val="clear"/>
            <w:tcMar>
              <w:top w:type="dxa" w:w="200"/>
              <w:left w:type="dxa" w:w="100"/>
              <w:bottom w:type="dxa" w:w="200"/>
              <w:right w:type="dxa" w:w="100"/>
            </w:tcMar>
            <w:vAlign w:val="center"/>
          </w:tcPr>
          <w:p>
            <w:pPr>
              <w:jc w:val="center"/>
            </w:pPr>
            <w:r>
              <w:rPr>
                <w:rFonts w:ascii="Calibri" w:cs="Calibri" w:eastAsia="Calibri" w:hAnsi="Calibri"/>
                <w:b/>
                <w:bCs/>
                <w:color w:val="E6B000"/>
                <w:sz w:val="54"/>
                <w:szCs w:val="54"/>
              </w:rPr>
              <w:t xml:space="preserve">F6</w:t>
            </w:r>
          </w:p>
        </w:tc>
        <w:tc>
          <w:tcPr>
            <w:tcW w:type="dxa" w:w="8260"/>
            <w:tcBorders>
              <w:top w:val="none" w:color="FFFFFF" w:sz="0"/>
              <w:left w:val="none" w:color="FFFFFF" w:sz="0"/>
              <w:bottom w:val="none" w:color="FFFFFF" w:sz="0"/>
              <w:right w:val="none" w:color="FFFFFF" w:sz="0"/>
            </w:tcBorders>
            <w:shd w:fill="14512E" w:val="clear"/>
            <w:tcMar>
              <w:top w:type="dxa" w:w="180"/>
              <w:left w:type="dxa" w:w="220"/>
              <w:bottom w:type="dxa" w:w="180"/>
              <w:right w:type="dxa" w:w="120"/>
            </w:tcMar>
          </w:tcPr>
          <w:p>
            <w:r>
              <w:rPr>
                <w:rFonts w:ascii="Calibri" w:cs="Calibri" w:eastAsia="Calibri" w:hAnsi="Calibri"/>
                <w:b/>
                <w:bCs/>
                <w:color w:val="FFFFFF"/>
                <w:sz w:val="36"/>
                <w:szCs w:val="36"/>
              </w:rPr>
              <w:t xml:space="preserve">Portfolio / Project Showcase</w:t>
            </w:r>
          </w:p>
          <w:p>
            <w:pPr>
              <w:spacing w:before="30" w:after="0"/>
            </w:pPr>
            <w:r>
              <w:rPr>
                <w:rFonts w:ascii="Calibri" w:cs="Calibri" w:eastAsia="Calibri" w:hAnsi="Calibri"/>
                <w:i/>
                <w:iCs/>
                <w:color w:val="CCDAEE"/>
                <w:sz w:val="19"/>
                <w:szCs w:val="19"/>
              </w:rPr>
              <w:t xml:space="preserve">Tangible evidence of what the trainer has built, taught, and delivered — beyond credentials and job titles</w:t>
            </w:r>
          </w:p>
        </w:tc>
      </w:tr>
    </w:tbl>
    <w:p>
      <w:pPr>
        <w:spacing w:before="120" w:after="0"/>
      </w:pPr>
      <w:r>
        <w:t xml:space="preserve"/>
      </w:r>
    </w:p>
    <w:p>
      <w:pPr>
        <w:spacing w:before="340" w:after="150"/>
      </w:pPr>
      <w:r>
        <w:rPr>
          <w:rFonts w:ascii="Calibri" w:cs="Calibri" w:eastAsia="Calibri" w:hAnsi="Calibri"/>
          <w:b/>
          <w:bCs/>
          <w:color w:val="14512E"/>
          <w:sz w:val="42"/>
          <w:szCs w:val="42"/>
        </w:rPr>
        <w:t xml:space="preserve">Feature 6: Portfolio / Project Showcase</w:t>
      </w:r>
    </w:p>
    <w:p>
      <w:pPr>
        <w:pBdr>
          <w:bottom w:val="single" w:color="14512E" w:sz="8"/>
        </w:pBdr>
        <w:spacing w:before="80" w:after="80"/>
      </w:pPr>
      <w:r>
        <w:t xml:space="preserve"/>
      </w:r>
    </w:p>
    <w:p>
      <w:pPr>
        <w:spacing w:before="60" w:after="60"/>
      </w:pPr>
      <w:r>
        <w:rPr>
          <w:rFonts w:ascii="Calibri" w:cs="Calibri" w:eastAsia="Calibri" w:hAnsi="Calibri"/>
          <w:b w:val="false"/>
          <w:bCs w:val="false"/>
          <w:i w:val="false"/>
          <w:iCs w:val="false"/>
          <w:color w:val="1E2938"/>
          <w:sz w:val="21"/>
          <w:szCs w:val="21"/>
        </w:rPr>
        <w:t xml:space="preserve">The Portfolio and Project Showcase is the section of the trainer profile that answers the most important question institutes ask: "What have you actually done?" Credentials tell institutes what the trainer knows; the portfolio shows what they have created, taught, or delivered. For trainers in creative, technical, and research domains especially, a strong portfolio often converts more bookings than certifications alone.</w:t>
      </w:r>
    </w:p>
    <w:p>
      <w:pPr>
        <w:spacing w:before="80" w:after="0"/>
      </w:pPr>
      <w:r>
        <w:t xml:space="preserve"/>
      </w:r>
    </w:p>
    <w:p>
      <w:pPr>
        <w:spacing w:before="260" w:after="110"/>
      </w:pPr>
      <w:r>
        <w:rPr>
          <w:rFonts w:ascii="Calibri" w:cs="Calibri" w:eastAsia="Calibri" w:hAnsi="Calibri"/>
          <w:b/>
          <w:bCs/>
          <w:color w:val="9C5500"/>
          <w:sz w:val="31"/>
          <w:szCs w:val="31"/>
        </w:rPr>
        <w:t xml:space="preserve">6.1 Portfolio Item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rPr>
          <w:tblHeader/>
        </w:trPr>
        <w:tc>
          <w:tcPr>
            <w:tcW w:type="dxa" w:w="2200"/>
            <w:tcBorders>
              <w:top w:val="single" w:color="C3C8D3" w:sz="1"/>
              <w:left w:val="single" w:color="C3C8D3" w:sz="1"/>
              <w:bottom w:val="single" w:color="C3C8D3" w:sz="1"/>
              <w:right w:val="single" w:color="C3C8D3" w:sz="1"/>
            </w:tcBorders>
            <w:shd w:fill="14512E" w:val="clear"/>
            <w:tcMar>
              <w:top w:type="dxa" w:w="110"/>
              <w:left w:type="dxa" w:w="140"/>
              <w:bottom w:type="dxa" w:w="110"/>
              <w:right w:type="dxa" w:w="140"/>
            </w:tcMar>
          </w:tcPr>
          <w:p>
            <w:pPr>
              <w:jc w:val="center"/>
            </w:pPr>
            <w:r>
              <w:rPr>
                <w:rFonts w:ascii="Calibri" w:cs="Calibri" w:eastAsia="Calibri" w:hAnsi="Calibri"/>
                <w:b/>
                <w:bCs/>
                <w:color w:val="FFFFFF"/>
                <w:sz w:val="20"/>
                <w:szCs w:val="20"/>
              </w:rPr>
              <w:t xml:space="preserve">Item Type</w:t>
            </w:r>
          </w:p>
        </w:tc>
        <w:tc>
          <w:tcPr>
            <w:tcW w:type="dxa" w:w="3280"/>
            <w:tcBorders>
              <w:top w:val="single" w:color="C3C8D3" w:sz="1"/>
              <w:left w:val="single" w:color="C3C8D3" w:sz="1"/>
              <w:bottom w:val="single" w:color="C3C8D3" w:sz="1"/>
              <w:right w:val="single" w:color="C3C8D3" w:sz="1"/>
            </w:tcBorders>
            <w:shd w:fill="14512E" w:val="clear"/>
            <w:tcMar>
              <w:top w:type="dxa" w:w="110"/>
              <w:left w:type="dxa" w:w="140"/>
              <w:bottom w:type="dxa" w:w="110"/>
              <w:right w:type="dxa" w:w="140"/>
            </w:tcMar>
          </w:tcPr>
          <w:p>
            <w:pPr>
              <w:jc w:val="center"/>
            </w:pPr>
            <w:r>
              <w:rPr>
                <w:rFonts w:ascii="Calibri" w:cs="Calibri" w:eastAsia="Calibri" w:hAnsi="Calibri"/>
                <w:b/>
                <w:bCs/>
                <w:color w:val="FFFFFF"/>
                <w:sz w:val="20"/>
                <w:szCs w:val="20"/>
              </w:rPr>
              <w:t xml:space="preserve">What It Covers</w:t>
            </w:r>
          </w:p>
        </w:tc>
        <w:tc>
          <w:tcPr>
            <w:tcW w:type="dxa" w:w="3880"/>
            <w:tcBorders>
              <w:top w:val="single" w:color="C3C8D3" w:sz="1"/>
              <w:left w:val="single" w:color="C3C8D3" w:sz="1"/>
              <w:bottom w:val="single" w:color="C3C8D3" w:sz="1"/>
              <w:right w:val="single" w:color="C3C8D3" w:sz="1"/>
            </w:tcBorders>
            <w:shd w:fill="14512E" w:val="clear"/>
            <w:tcMar>
              <w:top w:type="dxa" w:w="110"/>
              <w:left w:type="dxa" w:w="140"/>
              <w:bottom w:type="dxa" w:w="110"/>
              <w:right w:type="dxa" w:w="140"/>
            </w:tcMar>
          </w:tcPr>
          <w:p>
            <w:pPr>
              <w:jc w:val="center"/>
            </w:pPr>
            <w:r>
              <w:rPr>
                <w:rFonts w:ascii="Calibri" w:cs="Calibri" w:eastAsia="Calibri" w:hAnsi="Calibri"/>
                <w:b/>
                <w:bCs/>
                <w:color w:val="FFFFFF"/>
                <w:sz w:val="20"/>
                <w:szCs w:val="20"/>
              </w:rPr>
              <w:t xml:space="preserve">Evidence Required</w:t>
            </w:r>
          </w:p>
        </w:tc>
      </w:tr>
      <w:tr>
        <w:tc>
          <w:tcPr>
            <w:tcW w:type="dxa" w:w="220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bCs/>
                <w:color w:val="0B1E38"/>
                <w:sz w:val="20"/>
                <w:szCs w:val="20"/>
              </w:rPr>
              <w:t xml:space="preserve">Training Program / Curriculum</w:t>
            </w:r>
          </w:p>
        </w:tc>
        <w:tc>
          <w:tcPr>
            <w:tcW w:type="dxa" w:w="328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A full training program designed and delivered by the trainer: title, learning objectives, audience, duration, delivery format, and outcomes. Can be a course, workshop, bootcamp, or certification program.</w:t>
            </w:r>
          </w:p>
        </w:tc>
        <w:tc>
          <w:tcPr>
            <w:tcW w:type="dxa" w:w="388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Program outline or syllabus (redacted of client confidentiality), participant count, and a trainer statement on outcomes. Optional: link to recorded session or participant testimonial.</w:t>
            </w:r>
          </w:p>
        </w:tc>
      </w:tr>
      <w:tr>
        <w:tc>
          <w:tcPr>
            <w:tcW w:type="dxa" w:w="220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bCs/>
                <w:color w:val="0B1E38"/>
                <w:sz w:val="20"/>
                <w:szCs w:val="20"/>
              </w:rPr>
              <w:t xml:space="preserve">Industrial Visit Facilitation Record</w:t>
            </w:r>
          </w:p>
        </w:tc>
        <w:tc>
          <w:tcPr>
            <w:tcW w:type="dxa" w:w="328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A record of an industrial visit the trainer designed and facilitated — outside of the ECOSKILLER platform. Company name (if permitted), domain, student group size, visit objectives, and trainer-prepared materials.</w:t>
            </w:r>
          </w:p>
        </w:tc>
        <w:tc>
          <w:tcPr>
            <w:tcW w:type="dxa" w:w="388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Visit agenda, confirmation from institute or company (email/letter acceptable), and the AI-generated visit report template filled out. Platform-conducted visits auto-populate this section.</w:t>
            </w:r>
          </w:p>
        </w:tc>
      </w:tr>
      <w:tr>
        <w:tc>
          <w:tcPr>
            <w:tcW w:type="dxa" w:w="220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bCs/>
                <w:color w:val="0B1E38"/>
                <w:sz w:val="20"/>
                <w:szCs w:val="20"/>
              </w:rPr>
              <w:t xml:space="preserve">Research Paper / Publication</w:t>
            </w:r>
          </w:p>
        </w:tc>
        <w:tc>
          <w:tcPr>
            <w:tcW w:type="dxa" w:w="328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Academic or industry research paper co-authored or authored by the trainer. Title, journal/conference, publication date, DOI/link, and abstract.</w:t>
            </w:r>
          </w:p>
        </w:tc>
        <w:tc>
          <w:tcPr>
            <w:tcW w:type="dxa" w:w="388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Link to published paper or DOI. Platform verifies URL is live. AI checks that trainer name appears in the author list.</w:t>
            </w:r>
          </w:p>
        </w:tc>
      </w:tr>
      <w:tr>
        <w:tc>
          <w:tcPr>
            <w:tcW w:type="dxa" w:w="220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bCs/>
                <w:color w:val="0B1E38"/>
                <w:sz w:val="20"/>
                <w:szCs w:val="20"/>
              </w:rPr>
              <w:t xml:space="preserve">Open Source / GitHub Contribution</w:t>
            </w:r>
          </w:p>
        </w:tc>
        <w:tc>
          <w:tcPr>
            <w:tcW w:type="dxa" w:w="328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For IT domain trainers: GitHub repositories created or significantly contributed to. Repo name, description, tech stack, stars, and activity recency.</w:t>
            </w:r>
          </w:p>
        </w:tc>
        <w:tc>
          <w:tcPr>
            <w:tcW w:type="dxa" w:w="388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GitHub profile URL verified as belonging to trainer (via GitHub OAuth). Repo metrics auto-fetched from GitHub API.</w:t>
            </w:r>
          </w:p>
        </w:tc>
      </w:tr>
      <w:tr>
        <w:tc>
          <w:tcPr>
            <w:tcW w:type="dxa" w:w="220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bCs/>
                <w:color w:val="0B1E38"/>
                <w:sz w:val="20"/>
                <w:szCs w:val="20"/>
              </w:rPr>
              <w:t xml:space="preserve">Training Material / Content Artifact</w:t>
            </w:r>
          </w:p>
        </w:tc>
        <w:tc>
          <w:tcPr>
            <w:tcW w:type="dxa" w:w="328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A specific training artifact: slide deck, workbook, assessment bank, or case study created by the trainer. Can be uploaded as a PDF or linked to a Google Drive (with public-view link).</w:t>
            </w:r>
          </w:p>
        </w:tc>
        <w:tc>
          <w:tcPr>
            <w:tcW w:type="dxa" w:w="388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Uploaded artifact or verified public link. AI scans for plagiarism against known public sources. Trainer must assert original authorship.</w:t>
            </w:r>
          </w:p>
        </w:tc>
      </w:tr>
      <w:tr>
        <w:tc>
          <w:tcPr>
            <w:tcW w:type="dxa" w:w="220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bCs/>
                <w:color w:val="0B1E38"/>
                <w:sz w:val="20"/>
                <w:szCs w:val="20"/>
              </w:rPr>
              <w:t xml:space="preserve">Industry Project (Professional)</w:t>
            </w:r>
          </w:p>
        </w:tc>
        <w:tc>
          <w:tcPr>
            <w:tcW w:type="dxa" w:w="328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A significant professional project the trainer led or contributed to: project name (or description if confidential), industry, role, duration, technologies or methodologies used, and outcomes.</w:t>
            </w:r>
          </w:p>
        </w:tc>
        <w:tc>
          <w:tcPr>
            <w:tcW w:type="dxa" w:w="388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Experience entry linkage required (project must correspond to a verified role in the timeline). Outcome metrics if possible; client name optional.</w:t>
            </w:r>
          </w:p>
        </w:tc>
      </w:tr>
      <w:tr>
        <w:tc>
          <w:tcPr>
            <w:tcW w:type="dxa" w:w="220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bCs/>
                <w:color w:val="0B1E38"/>
                <w:sz w:val="20"/>
                <w:szCs w:val="20"/>
              </w:rPr>
              <w:t xml:space="preserve">Awards &amp; Recognition</w:t>
            </w:r>
          </w:p>
        </w:tc>
        <w:tc>
          <w:tcPr>
            <w:tcW w:type="dxa" w:w="328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Industry awards, speaker recognitions, institute awards for teaching excellence, or notable mentions. Award name, issuing body, year.</w:t>
            </w:r>
          </w:p>
        </w:tc>
        <w:tc>
          <w:tcPr>
            <w:tcW w:type="dxa" w:w="388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Award certificate image or a verifiable public URL (award announcement, news article, press release).</w:t>
            </w:r>
          </w:p>
        </w:tc>
      </w:tr>
      <w:tr>
        <w:tc>
          <w:tcPr>
            <w:tcW w:type="dxa" w:w="220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bCs/>
                <w:color w:val="0B1E38"/>
                <w:sz w:val="20"/>
                <w:szCs w:val="20"/>
              </w:rPr>
              <w:t xml:space="preserve">Knowledge Base Article</w:t>
            </w:r>
          </w:p>
        </w:tc>
        <w:tc>
          <w:tcPr>
            <w:tcW w:type="dxa" w:w="328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An article published on the ECOSKILLER Knowledge Base — a curated library of domain content. Trainer writes the article; it is reviewed and approved by the editorial board before publication.</w:t>
            </w:r>
          </w:p>
        </w:tc>
        <w:tc>
          <w:tcPr>
            <w:tcW w:type="dxa" w:w="388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Editorial approval on ECOSKILLER platform. Articles are tagged with the trainer's profile automatically upon publication.</w:t>
            </w:r>
          </w:p>
        </w:tc>
      </w:tr>
    </w:tbl>
    <w:p>
      <w:pPr>
        <w:spacing w:before="100" w:after="0"/>
      </w:pPr>
      <w:r>
        <w:t xml:space="preserve"/>
      </w:r>
    </w:p>
    <w:p>
      <w:pPr>
        <w:spacing w:before="260" w:after="110"/>
      </w:pPr>
      <w:r>
        <w:rPr>
          <w:rFonts w:ascii="Calibri" w:cs="Calibri" w:eastAsia="Calibri" w:hAnsi="Calibri"/>
          <w:b/>
          <w:bCs/>
          <w:color w:val="14512E"/>
          <w:sz w:val="31"/>
          <w:szCs w:val="31"/>
        </w:rPr>
        <w:t xml:space="preserve">6.2 Portfolio Item Entry Fields (Common)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b/>
                <w:bCs/>
                <w:color w:val="14512E"/>
                <w:sz w:val="20"/>
                <w:szCs w:val="20"/>
              </w:rPr>
              <w:t xml:space="preserve">Title</w:t>
            </w:r>
          </w:p>
        </w:tc>
        <w:tc>
          <w:tcPr>
            <w:tcW w:type="dxa" w:w="616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color w:val="1E2938"/>
                <w:sz w:val="20"/>
                <w:szCs w:val="20"/>
              </w:rPr>
              <w:t xml:space="preserve">Max 120 characters. Descriptive and specific. AI checks for vague titles: "My Project" or "Training" flagged for improvement with a suggestion.</w:t>
            </w:r>
          </w:p>
        </w:tc>
      </w:tr>
      <w:tr>
        <w:tc>
          <w:tcPr>
            <w:tcW w:type="dxa" w:w="320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b/>
                <w:bCs/>
                <w:color w:val="14512E"/>
                <w:sz w:val="20"/>
                <w:szCs w:val="20"/>
              </w:rPr>
              <w:t xml:space="preserve">Domain Tag</w:t>
            </w:r>
          </w:p>
        </w:tc>
        <w:tc>
          <w:tcPr>
            <w:tcW w:type="dxa" w:w="616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color w:val="1E2938"/>
                <w:sz w:val="20"/>
                <w:szCs w:val="20"/>
              </w:rPr>
              <w:t xml:space="preserve">Auto-tagged from trainer's domain list. Can be manually adjusted. Used for domain-filtered portfolio browsing.</w:t>
            </w:r>
          </w:p>
        </w:tc>
      </w:tr>
      <w:tr>
        <w:tc>
          <w:tcPr>
            <w:tcW w:type="dxa" w:w="320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b/>
                <w:bCs/>
                <w:color w:val="14512E"/>
                <w:sz w:val="20"/>
                <w:szCs w:val="20"/>
              </w:rPr>
              <w:t xml:space="preserve">Brief Description</w:t>
            </w:r>
          </w:p>
        </w:tc>
        <w:tc>
          <w:tcPr>
            <w:tcW w:type="dxa" w:w="616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color w:val="1E2938"/>
                <w:sz w:val="20"/>
                <w:szCs w:val="20"/>
              </w:rPr>
              <w:t xml:space="preserve">Max 300 words. What was done, for whom, and what resulted. AI evaluates specificity and quantification. Generic descriptions are scored lower in the portfolio quality score.</w:t>
            </w:r>
          </w:p>
        </w:tc>
      </w:tr>
      <w:tr>
        <w:tc>
          <w:tcPr>
            <w:tcW w:type="dxa" w:w="320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b/>
                <w:bCs/>
                <w:color w:val="14512E"/>
                <w:sz w:val="20"/>
                <w:szCs w:val="20"/>
              </w:rPr>
              <w:t xml:space="preserve">Impact / Outcome Metrics</w:t>
            </w:r>
          </w:p>
        </w:tc>
        <w:tc>
          <w:tcPr>
            <w:tcW w:type="dxa" w:w="616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color w:val="1E2938"/>
                <w:sz w:val="20"/>
                <w:szCs w:val="20"/>
              </w:rPr>
              <w:t xml:space="preserve">Quantified results where available: "Trained 250 engineers across 3 plants", "GitHub repo with 1,400 stars and 80 contributors", "Workshop resulted in 30% reduction in process defect rate."</w:t>
            </w:r>
          </w:p>
        </w:tc>
      </w:tr>
      <w:tr>
        <w:tc>
          <w:tcPr>
            <w:tcW w:type="dxa" w:w="320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b/>
                <w:bCs/>
                <w:color w:val="14512E"/>
                <w:sz w:val="20"/>
                <w:szCs w:val="20"/>
              </w:rPr>
              <w:t xml:space="preserve">Date / Period</w:t>
            </w:r>
          </w:p>
        </w:tc>
        <w:tc>
          <w:tcPr>
            <w:tcW w:type="dxa" w:w="616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color w:val="1E2938"/>
                <w:sz w:val="20"/>
                <w:szCs w:val="20"/>
              </w:rPr>
              <w:t xml:space="preserve">Month-Year range or single date for publications.</w:t>
            </w:r>
          </w:p>
        </w:tc>
      </w:tr>
      <w:tr>
        <w:tc>
          <w:tcPr>
            <w:tcW w:type="dxa" w:w="320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b/>
                <w:bCs/>
                <w:color w:val="14512E"/>
                <w:sz w:val="20"/>
                <w:szCs w:val="20"/>
              </w:rPr>
              <w:t xml:space="preserve">Media Attachments</w:t>
            </w:r>
          </w:p>
        </w:tc>
        <w:tc>
          <w:tcPr>
            <w:tcW w:type="dxa" w:w="616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color w:val="1E2938"/>
                <w:sz w:val="20"/>
                <w:szCs w:val="20"/>
              </w:rPr>
              <w:t xml:space="preserve">Up to 5 images or 1 video per portfolio item. Visit photos (with student consent), workshop room setup, equipment demonstrations, project screenshots.</w:t>
            </w:r>
          </w:p>
        </w:tc>
      </w:tr>
      <w:tr>
        <w:tc>
          <w:tcPr>
            <w:tcW w:type="dxa" w:w="320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b/>
                <w:bCs/>
                <w:color w:val="14512E"/>
                <w:sz w:val="20"/>
                <w:szCs w:val="20"/>
              </w:rPr>
              <w:t xml:space="preserve">Visibility Setting</w:t>
            </w:r>
          </w:p>
        </w:tc>
        <w:tc>
          <w:tcPr>
            <w:tcW w:type="dxa" w:w="616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color w:val="1E2938"/>
                <w:sz w:val="20"/>
                <w:szCs w:val="20"/>
              </w:rPr>
              <w:t xml:space="preserve">Public / Institute-Only / Private. Private items contribute to portfolio score but are not displayed.</w:t>
            </w:r>
          </w:p>
        </w:tc>
      </w:tr>
      <w:tr>
        <w:tc>
          <w:tcPr>
            <w:tcW w:type="dxa" w:w="320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b/>
                <w:bCs/>
                <w:color w:val="14512E"/>
                <w:sz w:val="20"/>
                <w:szCs w:val="20"/>
              </w:rPr>
              <w:t xml:space="preserve">Client / Institute Name</w:t>
            </w:r>
          </w:p>
        </w:tc>
        <w:tc>
          <w:tcPr>
            <w:tcW w:type="dxa" w:w="616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color w:val="1E2938"/>
                <w:sz w:val="20"/>
                <w:szCs w:val="20"/>
              </w:rPr>
              <w:t xml:space="preserve">Optional. If trainer permits disclosure. If confidential: can say "Leading FMCG company" or "Top-10 Engineering Institute" without specific name.</w:t>
            </w:r>
          </w:p>
        </w:tc>
      </w:tr>
      <w:tr>
        <w:tc>
          <w:tcPr>
            <w:tcW w:type="dxa" w:w="320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b/>
                <w:bCs/>
                <w:color w:val="14512E"/>
                <w:sz w:val="20"/>
                <w:szCs w:val="20"/>
              </w:rPr>
              <w:t xml:space="preserve">Testimonial Quote</w:t>
            </w:r>
          </w:p>
        </w:tc>
        <w:tc>
          <w:tcPr>
            <w:tcW w:type="dxa" w:w="616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color w:val="1E2938"/>
                <w:sz w:val="20"/>
                <w:szCs w:val="20"/>
              </w:rPr>
              <w:t xml:space="preserve">An optional short quote from the client, institute coordinator, or participant. Must be accompanied by the person's name and designation. Cannot be anonymous.</w:t>
            </w:r>
          </w:p>
        </w:tc>
      </w:tr>
    </w:tbl>
    <w:p>
      <w:pPr>
        <w:spacing w:before="100" w:after="0"/>
      </w:pPr>
      <w:r>
        <w:t xml:space="preserve"/>
      </w:r>
    </w:p>
    <w:p>
      <w:pPr>
        <w:spacing w:before="260" w:after="110"/>
      </w:pPr>
      <w:r>
        <w:rPr>
          <w:rFonts w:ascii="Calibri" w:cs="Calibri" w:eastAsia="Calibri" w:hAnsi="Calibri"/>
          <w:b/>
          <w:bCs/>
          <w:color w:val="14512E"/>
          <w:sz w:val="31"/>
          <w:szCs w:val="31"/>
        </w:rPr>
        <w:t xml:space="preserve">6.3 Portfolio Quality Score &amp;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b/>
                <w:bCs/>
                <w:color w:val="14512E"/>
                <w:sz w:val="20"/>
                <w:szCs w:val="20"/>
              </w:rPr>
              <w:t xml:space="preserve">Portfolio Completeness Score</w:t>
            </w:r>
          </w:p>
        </w:tc>
        <w:tc>
          <w:tcPr>
            <w:tcW w:type="dxa" w:w="626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color w:val="1E2938"/>
                <w:sz w:val="20"/>
                <w:szCs w:val="20"/>
              </w:rPr>
              <w:t xml:space="preserve">System tracks: number of items (min 5 recommended), variety of item types, domains covered, evidence quality, and media richness. Score shown to trainer privately with specific improvement suggestions.</w:t>
            </w:r>
          </w:p>
        </w:tc>
      </w:tr>
      <w:tr>
        <w:tc>
          <w:tcPr>
            <w:tcW w:type="dxa" w:w="310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b/>
                <w:bCs/>
                <w:color w:val="14512E"/>
                <w:sz w:val="20"/>
                <w:szCs w:val="20"/>
              </w:rPr>
              <w:t xml:space="preserve">AI Portfolio Recommendations</w:t>
            </w:r>
          </w:p>
        </w:tc>
        <w:tc>
          <w:tcPr>
            <w:tcW w:type="dxa" w:w="626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color w:val="1E2938"/>
                <w:sz w:val="20"/>
                <w:szCs w:val="20"/>
              </w:rPr>
              <w:t xml:space="preserve">When a trainer completes a visit on the platform, the system prompts: "Would you like to add this visit to your portfolio? Here is a draft entry based on the visit report."</w:t>
            </w:r>
          </w:p>
        </w:tc>
      </w:tr>
      <w:tr>
        <w:tc>
          <w:tcPr>
            <w:tcW w:type="dxa" w:w="310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b/>
                <w:bCs/>
                <w:color w:val="14512E"/>
                <w:sz w:val="20"/>
                <w:szCs w:val="20"/>
              </w:rPr>
              <w:t xml:space="preserve">Portfolio Impact on Bookings</w:t>
            </w:r>
          </w:p>
        </w:tc>
        <w:tc>
          <w:tcPr>
            <w:tcW w:type="dxa" w:w="626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color w:val="1E2938"/>
                <w:sz w:val="20"/>
                <w:szCs w:val="20"/>
              </w:rPr>
              <w:t xml:space="preserve">Trainers with 5+ portfolio items with outcome metrics receive a "Portfolio Strong" badge visible to institutes. Internal platform data: trainers with this badge receive 2.3x more booking inquiries.</w:t>
            </w:r>
          </w:p>
        </w:tc>
      </w:tr>
      <w:tr>
        <w:tc>
          <w:tcPr>
            <w:tcW w:type="dxa" w:w="310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b/>
                <w:bCs/>
                <w:color w:val="14512E"/>
                <w:sz w:val="20"/>
                <w:szCs w:val="20"/>
              </w:rPr>
              <w:t xml:space="preserve">Plagiarism &amp; Originality Check</w:t>
            </w:r>
          </w:p>
        </w:tc>
        <w:tc>
          <w:tcPr>
            <w:tcW w:type="dxa" w:w="626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color w:val="1E2938"/>
                <w:sz w:val="20"/>
                <w:szCs w:val="20"/>
              </w:rPr>
              <w:t xml:space="preserve">All uploaded text content is scanned against known public sources. Any text that matches published material above 15% similarity triggers a review request: "Please confirm this is original content or provide attribution."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006E7A" w:val="clear"/>
            <w:tcMar>
              <w:top w:type="dxa" w:w="200"/>
              <w:left w:type="dxa" w:w="100"/>
              <w:bottom w:type="dxa" w:w="200"/>
              <w:right w:type="dxa" w:w="100"/>
            </w:tcMar>
            <w:vAlign w:val="center"/>
          </w:tcPr>
          <w:p>
            <w:pPr>
              <w:jc w:val="center"/>
            </w:pPr>
            <w:r>
              <w:rPr>
                <w:rFonts w:ascii="Calibri" w:cs="Calibri" w:eastAsia="Calibri" w:hAnsi="Calibri"/>
                <w:b/>
                <w:bCs/>
                <w:color w:val="E6B000"/>
                <w:sz w:val="54"/>
                <w:szCs w:val="54"/>
              </w:rPr>
              <w:t xml:space="preserve">F7</w:t>
            </w:r>
          </w:p>
        </w:tc>
        <w:tc>
          <w:tcPr>
            <w:tcW w:type="dxa" w:w="8260"/>
            <w:tcBorders>
              <w:top w:val="none" w:color="FFFFFF" w:sz="0"/>
              <w:left w:val="none" w:color="FFFFFF" w:sz="0"/>
              <w:bottom w:val="none" w:color="FFFFFF" w:sz="0"/>
              <w:right w:val="none" w:color="FFFFFF" w:sz="0"/>
            </w:tcBorders>
            <w:shd w:fill="006E7A" w:val="clear"/>
            <w:tcMar>
              <w:top w:type="dxa" w:w="180"/>
              <w:left w:type="dxa" w:w="220"/>
              <w:bottom w:type="dxa" w:w="180"/>
              <w:right w:type="dxa" w:w="120"/>
            </w:tcMar>
          </w:tcPr>
          <w:p>
            <w:r>
              <w:rPr>
                <w:rFonts w:ascii="Calibri" w:cs="Calibri" w:eastAsia="Calibri" w:hAnsi="Calibri"/>
                <w:b/>
                <w:bCs/>
                <w:color w:val="FFFFFF"/>
                <w:sz w:val="36"/>
                <w:szCs w:val="36"/>
              </w:rPr>
              <w:t xml:space="preserve">Industry Exposure Listing</w:t>
            </w:r>
          </w:p>
          <w:p>
            <w:pPr>
              <w:spacing w:before="30" w:after="0"/>
            </w:pPr>
            <w:r>
              <w:rPr>
                <w:rFonts w:ascii="Calibri" w:cs="Calibri" w:eastAsia="Calibri" w:hAnsi="Calibri"/>
                <w:i/>
                <w:iCs/>
                <w:color w:val="CCDAEE"/>
                <w:sz w:val="19"/>
                <w:szCs w:val="19"/>
              </w:rPr>
              <w:t xml:space="preserve">The granular record of specific industries, companies, plant types, and processes the trainer has genuine first-hand exposure to</w:t>
            </w:r>
          </w:p>
        </w:tc>
      </w:tr>
    </w:tbl>
    <w:p>
      <w:pPr>
        <w:spacing w:before="120" w:after="0"/>
      </w:pPr>
      <w:r>
        <w:t xml:space="preserve"/>
      </w:r>
    </w:p>
    <w:p>
      <w:pPr>
        <w:spacing w:before="340" w:after="150"/>
      </w:pPr>
      <w:r>
        <w:rPr>
          <w:rFonts w:ascii="Calibri" w:cs="Calibri" w:eastAsia="Calibri" w:hAnsi="Calibri"/>
          <w:b/>
          <w:bCs/>
          <w:color w:val="006E7A"/>
          <w:sz w:val="42"/>
          <w:szCs w:val="42"/>
        </w:rPr>
        <w:t xml:space="preserve">Feature 7: Industry Exposure Listing</w:t>
      </w:r>
    </w:p>
    <w:p>
      <w:pPr>
        <w:pBdr>
          <w:bottom w:val="single" w:color="006E7A" w:sz="8"/>
        </w:pBdr>
        <w:spacing w:before="80" w:after="80"/>
      </w:pPr>
      <w:r>
        <w:t xml:space="preserve"/>
      </w:r>
    </w:p>
    <w:p>
      <w:pPr>
        <w:spacing w:before="60" w:after="60"/>
      </w:pPr>
      <w:r>
        <w:rPr>
          <w:rFonts w:ascii="Calibri" w:cs="Calibri" w:eastAsia="Calibri" w:hAnsi="Calibri"/>
          <w:b w:val="false"/>
          <w:bCs w:val="false"/>
          <w:i w:val="false"/>
          <w:iCs w:val="false"/>
          <w:color w:val="1E2938"/>
          <w:sz w:val="21"/>
          <w:szCs w:val="21"/>
        </w:rPr>
        <w:t xml:space="preserve">Industry Exposure Listing is distinct from the Experience Timeline. While the timeline records where the trainer worked, the Industry Exposure Listing records what specific industrial processes, equipment, company environments, and business operations they have directly observed or participated in. This is the field that answers the question: "Can this trainer actually walk our students around a real production floor and explain what they are seeing?" For industrial visit facilitation, this is the most practically important section of the profile.</w:t>
      </w:r>
    </w:p>
    <w:p>
      <w:pPr>
        <w:spacing w:before="80" w:after="0"/>
      </w:pPr>
      <w:r>
        <w:t xml:space="preserve"/>
      </w:r>
    </w:p>
    <w:p>
      <w:pPr>
        <w:spacing w:before="260" w:after="110"/>
      </w:pPr>
      <w:r>
        <w:rPr>
          <w:rFonts w:ascii="Calibri" w:cs="Calibri" w:eastAsia="Calibri" w:hAnsi="Calibri"/>
          <w:b/>
          <w:bCs/>
          <w:color w:val="9C5500"/>
          <w:sz w:val="31"/>
          <w:szCs w:val="31"/>
        </w:rPr>
        <w:t xml:space="preserve">7.1 Industry Exposure Entry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3C8D3" w:sz="1"/>
              <w:left w:val="single" w:color="C3C8D3" w:sz="1"/>
              <w:bottom w:val="single" w:color="C3C8D3" w:sz="1"/>
              <w:right w:val="single" w:color="C3C8D3" w:sz="1"/>
            </w:tcBorders>
            <w:shd w:fill="006E7A" w:val="clear"/>
            <w:tcMar>
              <w:top w:type="dxa" w:w="110"/>
              <w:left w:type="dxa" w:w="140"/>
              <w:bottom w:type="dxa" w:w="110"/>
              <w:right w:type="dxa" w:w="140"/>
            </w:tcMar>
          </w:tcPr>
          <w:p>
            <w:pPr>
              <w:jc w:val="center"/>
            </w:pPr>
            <w:r>
              <w:rPr>
                <w:rFonts w:ascii="Calibri" w:cs="Calibri" w:eastAsia="Calibri" w:hAnsi="Calibri"/>
                <w:b/>
                <w:bCs/>
                <w:color w:val="FFFFFF"/>
                <w:sz w:val="19"/>
                <w:szCs w:val="19"/>
              </w:rPr>
              <w:t xml:space="preserve">Field / Element</w:t>
            </w:r>
          </w:p>
        </w:tc>
        <w:tc>
          <w:tcPr>
            <w:tcW w:type="dxa" w:w="2600"/>
            <w:tcBorders>
              <w:top w:val="single" w:color="C3C8D3" w:sz="1"/>
              <w:left w:val="single" w:color="C3C8D3" w:sz="1"/>
              <w:bottom w:val="single" w:color="C3C8D3" w:sz="1"/>
              <w:right w:val="single" w:color="C3C8D3" w:sz="1"/>
            </w:tcBorders>
            <w:shd w:fill="006E7A" w:val="clear"/>
            <w:tcMar>
              <w:top w:type="dxa" w:w="110"/>
              <w:left w:type="dxa" w:w="140"/>
              <w:bottom w:type="dxa" w:w="110"/>
              <w:right w:type="dxa" w:w="140"/>
            </w:tcMar>
          </w:tcPr>
          <w:p>
            <w:pPr>
              <w:jc w:val="center"/>
            </w:pPr>
            <w:r>
              <w:rPr>
                <w:rFonts w:ascii="Calibri" w:cs="Calibri" w:eastAsia="Calibri" w:hAnsi="Calibri"/>
                <w:b/>
                <w:bCs/>
                <w:color w:val="FFFFFF"/>
                <w:sz w:val="19"/>
                <w:szCs w:val="19"/>
              </w:rPr>
              <w:t xml:space="preserve">Data Type &amp; Constraints</w:t>
            </w:r>
          </w:p>
        </w:tc>
        <w:tc>
          <w:tcPr>
            <w:tcW w:type="dxa" w:w="4560"/>
            <w:tcBorders>
              <w:top w:val="single" w:color="C3C8D3" w:sz="1"/>
              <w:left w:val="single" w:color="C3C8D3" w:sz="1"/>
              <w:bottom w:val="single" w:color="C3C8D3" w:sz="1"/>
              <w:right w:val="single" w:color="C3C8D3" w:sz="1"/>
            </w:tcBorders>
            <w:shd w:fill="006E7A" w:val="clear"/>
            <w:tcMar>
              <w:top w:type="dxa" w:w="110"/>
              <w:left w:type="dxa" w:w="140"/>
              <w:bottom w:type="dxa" w:w="110"/>
              <w:right w:type="dxa" w:w="140"/>
            </w:tcMar>
          </w:tcPr>
          <w:p>
            <w:pPr>
              <w:jc w:val="center"/>
            </w:pPr>
            <w:r>
              <w:rPr>
                <w:rFonts w:ascii="Calibri" w:cs="Calibri" w:eastAsia="Calibri" w:hAnsi="Calibri"/>
                <w:b/>
                <w:bCs/>
                <w:color w:val="FFFFFF"/>
                <w:sz w:val="19"/>
                <w:szCs w:val="19"/>
              </w:rPr>
              <w:t xml:space="preserve">Purpose &amp; Business Logic</w:t>
            </w:r>
          </w:p>
        </w:tc>
      </w:tr>
      <w:tr>
        <w:tc>
          <w:tcPr>
            <w:tcW w:type="dxa" w:w="22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bCs/>
                <w:color w:val="0B1E38"/>
                <w:sz w:val="19"/>
                <w:szCs w:val="19"/>
              </w:rPr>
              <w:t xml:space="preserve">Industry Vertical</w:t>
            </w:r>
          </w:p>
        </w:tc>
        <w:tc>
          <w:tcPr>
            <w:tcW w:type="dxa" w:w="26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Select from 40+ industry verticals (more granular than the 12 main domains): Automotive, Pharma, BFSI, Textiles, Steel, Petrochemicals, Consumer Electronics, FMCG, Hospitals, IT Services, etc.</w:t>
            </w:r>
          </w:p>
        </w:tc>
        <w:tc>
          <w:tcPr>
            <w:tcW w:type="dxa" w:w="456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Industry vertical is the primary field used to match trainers to specific company visit types. "Manufacturing" is a domain; "Automotive Stamping &amp; Body Shop" is an industry vertical.</w:t>
            </w:r>
          </w:p>
        </w:tc>
      </w:tr>
      <w:tr>
        <w:tc>
          <w:tcPr>
            <w:tcW w:type="dxa" w:w="22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bCs/>
                <w:color w:val="0B1E38"/>
                <w:sz w:val="19"/>
                <w:szCs w:val="19"/>
              </w:rPr>
              <w:t xml:space="preserve">Company / Plant Type</w:t>
            </w:r>
          </w:p>
        </w:tc>
        <w:tc>
          <w:tcPr>
            <w:tcW w:type="dxa" w:w="26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Free text or select. Examples: "Greenfield Automotive Assembly Plant", "API Manufacturing Pharma Facility", "Tier-1 Automotive Component Supplier", "Hospital with 500+ Beds &amp; Teaching Program."</w:t>
            </w:r>
          </w:p>
        </w:tc>
        <w:tc>
          <w:tcPr>
            <w:tcW w:type="dxa" w:w="456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Gives institutes specific context on the type of industrial environment the trainer has experience in. "Manufacturing" trainer with tier-1 automotive experience is more relevant for an auto company visit than a general engineering trainer.</w:t>
            </w:r>
          </w:p>
        </w:tc>
      </w:tr>
      <w:tr>
        <w:tc>
          <w:tcPr>
            <w:tcW w:type="dxa" w:w="22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bCs/>
                <w:color w:val="0B1E38"/>
                <w:sz w:val="19"/>
                <w:szCs w:val="19"/>
              </w:rPr>
              <w:t xml:space="preserve">Specific Processes Observed/Worked In</w:t>
            </w:r>
          </w:p>
        </w:tc>
        <w:tc>
          <w:tcPr>
            <w:tcW w:type="dxa" w:w="26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Multi-line structured input. Example entries: "Press Shop — Blanking, Forming, Deep Drawing", "EHV Switchgear Assembly Line", "Sterile Fill-Finish Pharma Manufacturing", "OT Complex — Multi-specialty hospital," "Trading Room — Fixed Income Desk."</w:t>
            </w:r>
          </w:p>
        </w:tc>
        <w:tc>
          <w:tcPr>
            <w:tcW w:type="dxa" w:w="456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This is the most valuable field for visit facilitation matching. When an institute books a visit to a pharma plant, the platform checks which trainers have "Pharma GMP Manufacturing" in their exposure list.</w:t>
            </w:r>
          </w:p>
        </w:tc>
      </w:tr>
      <w:tr>
        <w:tc>
          <w:tcPr>
            <w:tcW w:type="dxa" w:w="22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bCs/>
                <w:color w:val="0B1E38"/>
                <w:sz w:val="19"/>
                <w:szCs w:val="19"/>
              </w:rPr>
              <w:t xml:space="preserve">Nature of Exposure</w:t>
            </w:r>
          </w:p>
        </w:tc>
        <w:tc>
          <w:tcPr>
            <w:tcW w:type="dxa" w:w="26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Radio select: Employed (worked here full-time), Visited (professional site visit / audit / inspection), Consulted (engaged as an external consultant), Trained (conducted training here), Researched (academic/industry research project).</w:t>
            </w:r>
          </w:p>
        </w:tc>
        <w:tc>
          <w:tcPr>
            <w:tcW w:type="dxa" w:w="456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Nature of exposure affects trust weight. "Employed 8 years" is higher credibility for explaining a process than "Visited once for 2 hours." Both are valuable but weighted differently.</w:t>
            </w:r>
          </w:p>
        </w:tc>
      </w:tr>
      <w:tr>
        <w:tc>
          <w:tcPr>
            <w:tcW w:type="dxa" w:w="22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bCs/>
                <w:color w:val="0B1E38"/>
                <w:sz w:val="19"/>
                <w:szCs w:val="19"/>
              </w:rPr>
              <w:t xml:space="preserve">Duration</w:t>
            </w:r>
          </w:p>
        </w:tc>
        <w:tc>
          <w:tcPr>
            <w:tcW w:type="dxa" w:w="26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For employment: date range (from timeline linkage). For visits: number of visits and approximate total hours. For consulting: engagement duration.</w:t>
            </w:r>
          </w:p>
        </w:tc>
        <w:tc>
          <w:tcPr>
            <w:tcW w:type="dxa" w:w="456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Recency and depth of exposure affects AI scoring. A single site visit 12 years ago is flagged as "Historical Exposure." Regular recent engagement is "Active Exposure."</w:t>
            </w:r>
          </w:p>
        </w:tc>
      </w:tr>
      <w:tr>
        <w:tc>
          <w:tcPr>
            <w:tcW w:type="dxa" w:w="22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bCs/>
                <w:color w:val="0B1E38"/>
                <w:sz w:val="19"/>
                <w:szCs w:val="19"/>
              </w:rPr>
              <w:t xml:space="preserve">Geographic Coverage</w:t>
            </w:r>
          </w:p>
        </w:tc>
        <w:tc>
          <w:tcPr>
            <w:tcW w:type="dxa" w:w="26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City and country. For trainers with multi-location or multi-country exposure: list each separately.</w:t>
            </w:r>
          </w:p>
        </w:tc>
        <w:tc>
          <w:tcPr>
            <w:tcW w:type="dxa" w:w="456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Trainers with exposure in the specific geography of a planned visit are preferred. A trainer who has worked in Pune industrial estates is better for a Pune factory visit than someone with only Bengaluru experience.</w:t>
            </w:r>
          </w:p>
        </w:tc>
      </w:tr>
      <w:tr>
        <w:tc>
          <w:tcPr>
            <w:tcW w:type="dxa" w:w="22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bCs/>
                <w:color w:val="0B1E38"/>
                <w:sz w:val="19"/>
                <w:szCs w:val="19"/>
              </w:rPr>
              <w:t xml:space="preserve">Verification Reference</w:t>
            </w:r>
          </w:p>
        </w:tc>
        <w:tc>
          <w:tcPr>
            <w:tcW w:type="dxa" w:w="26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Optional: name and contact of a supervisor, manager, or client from this exposure. Used for reference verification (high-value bookings or disputes).</w:t>
            </w:r>
          </w:p>
        </w:tc>
        <w:tc>
          <w:tcPr>
            <w:tcW w:type="dxa" w:w="456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Reference availability increases trust weight for that exposure entry. Trainer can add reference contact as "Available on Request" rather than listing it publicly.</w:t>
            </w:r>
          </w:p>
        </w:tc>
      </w:tr>
    </w:tbl>
    <w:p>
      <w:pPr>
        <w:spacing w:before="100" w:after="0"/>
      </w:pPr>
      <w:r>
        <w:t xml:space="preserve"/>
      </w:r>
    </w:p>
    <w:p>
      <w:pPr>
        <w:spacing w:before="260" w:after="110"/>
      </w:pPr>
      <w:r>
        <w:rPr>
          <w:rFonts w:ascii="Calibri" w:cs="Calibri" w:eastAsia="Calibri" w:hAnsi="Calibri"/>
          <w:b/>
          <w:bCs/>
          <w:color w:val="006E7A"/>
          <w:sz w:val="31"/>
          <w:szCs w:val="31"/>
        </w:rPr>
        <w:t xml:space="preserve">7.2 Industry Exposure Display &amp; Search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b/>
                <w:bCs/>
                <w:color w:val="006E7A"/>
                <w:sz w:val="20"/>
                <w:szCs w:val="20"/>
              </w:rPr>
              <w:t xml:space="preserve">Exposure Map Visualization</w:t>
            </w:r>
          </w:p>
        </w:tc>
        <w:tc>
          <w:tcPr>
            <w:tcW w:type="dxa" w:w="626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color w:val="1E2938"/>
                <w:sz w:val="20"/>
                <w:szCs w:val="20"/>
              </w:rPr>
              <w:t xml:space="preserve">On the trainer profile: a visual map showing all industries and verticals the trainer has exposure in. Color-coded by exposure type (employment, consulting, visits). Interactive: institutes can hover over any industry to see details.</w:t>
            </w:r>
          </w:p>
        </w:tc>
      </w:tr>
      <w:tr>
        <w:tc>
          <w:tcPr>
            <w:tcW w:type="dxa" w:w="310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b/>
                <w:bCs/>
                <w:color w:val="006E7A"/>
                <w:sz w:val="20"/>
                <w:szCs w:val="20"/>
              </w:rPr>
              <w:t xml:space="preserve">Visit Facilitation Eligibility</w:t>
            </w:r>
          </w:p>
        </w:tc>
        <w:tc>
          <w:tcPr>
            <w:tcW w:type="dxa" w:w="626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color w:val="1E2938"/>
                <w:sz w:val="20"/>
                <w:szCs w:val="20"/>
              </w:rPr>
              <w:t xml:space="preserve">Certain visit types require a minimum industry exposure entry. Example: "Only trainers with verified Pharma GMP exposure can lead pharmaceutical company industrial visits." This rule is enforced at booking — trainers without the relevant exposure are not shown for that visit type.</w:t>
            </w:r>
          </w:p>
        </w:tc>
      </w:tr>
      <w:tr>
        <w:tc>
          <w:tcPr>
            <w:tcW w:type="dxa" w:w="310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b/>
                <w:bCs/>
                <w:color w:val="006E7A"/>
                <w:sz w:val="20"/>
                <w:szCs w:val="20"/>
              </w:rPr>
              <w:t xml:space="preserve">Exposure Breadth vs. Depth Score</w:t>
            </w:r>
          </w:p>
        </w:tc>
        <w:tc>
          <w:tcPr>
            <w:tcW w:type="dxa" w:w="626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color w:val="1E2938"/>
                <w:sz w:val="20"/>
                <w:szCs w:val="20"/>
              </w:rPr>
              <w:t xml:space="preserve">System scores two dimensions: Breadth (how many different industries) and Depth (how deeply experienced in each). Both scores shown. Some institutes prefer breadth (general industry awareness programs); others prefer depth (specialist domain visits).</w:t>
            </w:r>
          </w:p>
        </w:tc>
      </w:tr>
      <w:tr>
        <w:tc>
          <w:tcPr>
            <w:tcW w:type="dxa" w:w="310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b/>
                <w:bCs/>
                <w:color w:val="006E7A"/>
                <w:sz w:val="20"/>
                <w:szCs w:val="20"/>
              </w:rPr>
              <w:t xml:space="preserve">"Exposed to" Badges</w:t>
            </w:r>
          </w:p>
        </w:tc>
        <w:tc>
          <w:tcPr>
            <w:tcW w:type="dxa" w:w="626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color w:val="1E2938"/>
                <w:sz w:val="20"/>
                <w:szCs w:val="20"/>
              </w:rPr>
              <w:t xml:space="preserve">For highly specific or prestigious exposure: system awards sector-specific "Exposed To" badges: "Has worked at a Fortune 500 Automotive OEM", "Has experience in a WHO-GMP certified pharma plant", "Has traded in live derivatives markets." These badges are verified claims shown on the profile.</w:t>
            </w:r>
          </w:p>
        </w:tc>
      </w:tr>
      <w:tr>
        <w:tc>
          <w:tcPr>
            <w:tcW w:type="dxa" w:w="310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b/>
                <w:bCs/>
                <w:color w:val="006E7A"/>
                <w:sz w:val="20"/>
                <w:szCs w:val="20"/>
              </w:rPr>
              <w:t xml:space="preserve">Recency Filter</w:t>
            </w:r>
          </w:p>
        </w:tc>
        <w:tc>
          <w:tcPr>
            <w:tcW w:type="dxa" w:w="626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color w:val="1E2938"/>
                <w:sz w:val="20"/>
                <w:szCs w:val="20"/>
              </w:rPr>
              <w:t xml:space="preserve">Institutes can filter trainers by exposure recency: "Only show trainers with relevant industry exposure in the last 5 years." This addresses a key concern in fast-moving sectors like IT, FinTech, and EV.</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5B0FA8" w:val="clear"/>
            <w:tcMar>
              <w:top w:type="dxa" w:w="200"/>
              <w:left w:type="dxa" w:w="100"/>
              <w:bottom w:type="dxa" w:w="200"/>
              <w:right w:type="dxa" w:w="100"/>
            </w:tcMar>
            <w:vAlign w:val="center"/>
          </w:tcPr>
          <w:p>
            <w:pPr>
              <w:jc w:val="center"/>
            </w:pPr>
            <w:r>
              <w:rPr>
                <w:rFonts w:ascii="Calibri" w:cs="Calibri" w:eastAsia="Calibri" w:hAnsi="Calibri"/>
                <w:b/>
                <w:bCs/>
                <w:color w:val="E6B000"/>
                <w:sz w:val="54"/>
                <w:szCs w:val="54"/>
              </w:rPr>
              <w:t xml:space="preserve">F8</w:t>
            </w:r>
          </w:p>
        </w:tc>
        <w:tc>
          <w:tcPr>
            <w:tcW w:type="dxa" w:w="8260"/>
            <w:tcBorders>
              <w:top w:val="none" w:color="FFFFFF" w:sz="0"/>
              <w:left w:val="none" w:color="FFFFFF" w:sz="0"/>
              <w:bottom w:val="none" w:color="FFFFFF" w:sz="0"/>
              <w:right w:val="none" w:color="FFFFFF" w:sz="0"/>
            </w:tcBorders>
            <w:shd w:fill="5B0FA8" w:val="clear"/>
            <w:tcMar>
              <w:top w:type="dxa" w:w="180"/>
              <w:left w:type="dxa" w:w="220"/>
              <w:bottom w:type="dxa" w:w="180"/>
              <w:right w:type="dxa" w:w="120"/>
            </w:tcMar>
          </w:tcPr>
          <w:p>
            <w:r>
              <w:rPr>
                <w:rFonts w:ascii="Calibri" w:cs="Calibri" w:eastAsia="Calibri" w:hAnsi="Calibri"/>
                <w:b/>
                <w:bCs/>
                <w:color w:val="FFFFFF"/>
                <w:sz w:val="36"/>
                <w:szCs w:val="36"/>
              </w:rPr>
              <w:t xml:space="preserve">Personal Trainer Bio</w:t>
            </w:r>
          </w:p>
          <w:p>
            <w:pPr>
              <w:spacing w:before="30" w:after="0"/>
            </w:pPr>
            <w:r>
              <w:rPr>
                <w:rFonts w:ascii="Calibri" w:cs="Calibri" w:eastAsia="Calibri" w:hAnsi="Calibri"/>
                <w:i/>
                <w:iCs/>
                <w:color w:val="CCDAEE"/>
                <w:sz w:val="19"/>
                <w:szCs w:val="19"/>
              </w:rPr>
              <w:t xml:space="preserve">The human narrative layer — where verified credentials meet authentic personal voice</w:t>
            </w:r>
          </w:p>
        </w:tc>
      </w:tr>
    </w:tbl>
    <w:p>
      <w:pPr>
        <w:spacing w:before="120" w:after="0"/>
      </w:pPr>
      <w:r>
        <w:t xml:space="preserve"/>
      </w:r>
    </w:p>
    <w:p>
      <w:pPr>
        <w:spacing w:before="340" w:after="150"/>
      </w:pPr>
      <w:r>
        <w:rPr>
          <w:rFonts w:ascii="Calibri" w:cs="Calibri" w:eastAsia="Calibri" w:hAnsi="Calibri"/>
          <w:b/>
          <w:bCs/>
          <w:color w:val="5B0FA8"/>
          <w:sz w:val="42"/>
          <w:szCs w:val="42"/>
        </w:rPr>
        <w:t xml:space="preserve">Feature 8: Personal Trainer Bio</w:t>
      </w:r>
    </w:p>
    <w:p>
      <w:pPr>
        <w:pBdr>
          <w:bottom w:val="single" w:color="5B0FA8" w:sz="8"/>
        </w:pBdr>
        <w:spacing w:before="80" w:after="80"/>
      </w:pPr>
      <w:r>
        <w:t xml:space="preserve"/>
      </w:r>
    </w:p>
    <w:p>
      <w:pPr>
        <w:spacing w:before="60" w:after="60"/>
      </w:pPr>
      <w:r>
        <w:rPr>
          <w:rFonts w:ascii="Calibri" w:cs="Calibri" w:eastAsia="Calibri" w:hAnsi="Calibri"/>
          <w:b w:val="false"/>
          <w:bCs w:val="false"/>
          <w:i w:val="false"/>
          <w:iCs w:val="false"/>
          <w:color w:val="1E2938"/>
          <w:sz w:val="21"/>
          <w:szCs w:val="21"/>
        </w:rPr>
        <w:t xml:space="preserve">The Personal Trainer Bio is the only section of the profile where the trainer speaks in their own voice, without the constraints of structured fields. It is a narrative space that humanizes the credential-heavy professional record above it. However, ECOSKILLER's Bio system is not free-form blog space — it is a structured narrative framework with specific components that guide trainers to write bios that convert more bookings, communicate more clearly, and remain truthful.</w:t>
      </w:r>
    </w:p>
    <w:p>
      <w:pPr>
        <w:spacing w:before="80" w:after="0"/>
      </w:pPr>
      <w:r>
        <w:t xml:space="preserve"/>
      </w:r>
    </w:p>
    <w:p>
      <w:pPr>
        <w:spacing w:before="260" w:after="110"/>
      </w:pPr>
      <w:r>
        <w:rPr>
          <w:rFonts w:ascii="Calibri" w:cs="Calibri" w:eastAsia="Calibri" w:hAnsi="Calibri"/>
          <w:b/>
          <w:bCs/>
          <w:color w:val="9C5500"/>
          <w:sz w:val="31"/>
          <w:szCs w:val="31"/>
        </w:rPr>
        <w:t xml:space="preserve">8.1 Bio Structure — Required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b/>
                <w:bCs/>
                <w:color w:val="5B0FA8"/>
                <w:sz w:val="20"/>
                <w:szCs w:val="20"/>
              </w:rPr>
              <w:t xml:space="preserve">Opening Hook (100–150 words)</w:t>
            </w:r>
          </w:p>
        </w:tc>
        <w:tc>
          <w:tcPr>
            <w:tcW w:type="dxa" w:w="626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color w:val="1E2938"/>
                <w:sz w:val="20"/>
                <w:szCs w:val="20"/>
              </w:rPr>
              <w:t xml:space="preserve">Who the trainer is in a single compelling statement — not a resume summary. Should answer: "Why does this person love what they do, and why should an institute care?" AI scores engagement level: active voice, specificity, and avoidance of buzzwords ("passionate", "dynamic", "guru") all increase the score.</w:t>
            </w:r>
          </w:p>
        </w:tc>
      </w:tr>
      <w:tr>
        <w:tc>
          <w:tcPr>
            <w:tcW w:type="dxa" w:w="310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b/>
                <w:bCs/>
                <w:color w:val="5B0FA8"/>
                <w:sz w:val="20"/>
                <w:szCs w:val="20"/>
              </w:rPr>
              <w:t xml:space="preserve">Origin Story (100–200 words)</w:t>
            </w:r>
          </w:p>
        </w:tc>
        <w:tc>
          <w:tcPr>
            <w:tcW w:type="dxa" w:w="626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color w:val="1E2938"/>
                <w:sz w:val="20"/>
                <w:szCs w:val="20"/>
              </w:rPr>
              <w:t xml:space="preserve">How the trainer came to be in their domain. Career journey compressed into a narrative arc. Example: "After 11 years designing automotive chassis components at Mahindra, I realized that most engineering graduates had never seen the inside of a real welding cell..."</w:t>
            </w:r>
          </w:p>
        </w:tc>
      </w:tr>
      <w:tr>
        <w:tc>
          <w:tcPr>
            <w:tcW w:type="dxa" w:w="310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b/>
                <w:bCs/>
                <w:color w:val="5B0FA8"/>
                <w:sz w:val="20"/>
                <w:szCs w:val="20"/>
              </w:rPr>
              <w:t xml:space="preserve">Domain Philosophy (100–150 words)</w:t>
            </w:r>
          </w:p>
        </w:tc>
        <w:tc>
          <w:tcPr>
            <w:tcW w:type="dxa" w:w="626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color w:val="1E2938"/>
                <w:sz w:val="20"/>
                <w:szCs w:val="20"/>
              </w:rPr>
              <w:t xml:space="preserve">What the trainer believes about how their domain should be taught or experienced. Example: "I believe that no amount of classroom theory about pharma manufacturing substitutes for walking a student through a sterile fill-finish line and watching them connect the dots in real time."</w:t>
            </w:r>
          </w:p>
        </w:tc>
      </w:tr>
      <w:tr>
        <w:tc>
          <w:tcPr>
            <w:tcW w:type="dxa" w:w="310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b/>
                <w:bCs/>
                <w:color w:val="5B0FA8"/>
                <w:sz w:val="20"/>
                <w:szCs w:val="20"/>
              </w:rPr>
              <w:t xml:space="preserve">Teaching / Facilitation Style (100–150 words)</w:t>
            </w:r>
          </w:p>
        </w:tc>
        <w:tc>
          <w:tcPr>
            <w:tcW w:type="dxa" w:w="626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color w:val="1E2938"/>
                <w:sz w:val="20"/>
                <w:szCs w:val="20"/>
              </w:rPr>
              <w:t xml:space="preserve">How the trainer engages with student groups. Do they lecture? Facilitate discussion? Run challenges? Use visual storytelling? Ask questions and guide discovery? This section is critical for institute coordinators who need to predict how the trainer will perform with their specific student batch.</w:t>
            </w:r>
          </w:p>
        </w:tc>
      </w:tr>
      <w:tr>
        <w:tc>
          <w:tcPr>
            <w:tcW w:type="dxa" w:w="310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b/>
                <w:bCs/>
                <w:color w:val="5B0FA8"/>
                <w:sz w:val="20"/>
                <w:szCs w:val="20"/>
              </w:rPr>
              <w:t xml:space="preserve">What I Offer (structured list)</w:t>
            </w:r>
          </w:p>
        </w:tc>
        <w:tc>
          <w:tcPr>
            <w:tcW w:type="dxa" w:w="626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color w:val="1E2938"/>
                <w:sz w:val="20"/>
                <w:szCs w:val="20"/>
              </w:rPr>
              <w:t xml:space="preserve">A bulleted list of specific services: industrial visit facilitation domains, course topics, coaching specialties. This is a plain-language version of the structured services listing — more readable for non-technical decision-makers.</w:t>
            </w:r>
          </w:p>
        </w:tc>
      </w:tr>
      <w:tr>
        <w:tc>
          <w:tcPr>
            <w:tcW w:type="dxa" w:w="310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b/>
                <w:bCs/>
                <w:color w:val="5B0FA8"/>
                <w:sz w:val="20"/>
                <w:szCs w:val="20"/>
              </w:rPr>
              <w:t xml:space="preserve">Call to Action (50 words)</w:t>
            </w:r>
          </w:p>
        </w:tc>
        <w:tc>
          <w:tcPr>
            <w:tcW w:type="dxa" w:w="626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color w:val="1E2938"/>
                <w:sz w:val="20"/>
                <w:szCs w:val="20"/>
              </w:rPr>
              <w:t xml:space="preserve">A direct invitation: "If you are looking to bring [domain] alive for your students, let's connect." Includes a nudge to use the booking system or contact form. AI checks that the CTA is present and specific (not a generic "feel free to reach out").</w:t>
            </w:r>
          </w:p>
        </w:tc>
      </w:tr>
    </w:tbl>
    <w:p>
      <w:pPr>
        <w:spacing w:before="100" w:after="0"/>
      </w:pPr>
      <w:r>
        <w:t xml:space="preserve"/>
      </w:r>
    </w:p>
    <w:p>
      <w:pPr>
        <w:spacing w:before="260" w:after="110"/>
      </w:pPr>
      <w:r>
        <w:rPr>
          <w:rFonts w:ascii="Calibri" w:cs="Calibri" w:eastAsia="Calibri" w:hAnsi="Calibri"/>
          <w:b/>
          <w:bCs/>
          <w:color w:val="5B0FA8"/>
          <w:sz w:val="31"/>
          <w:szCs w:val="31"/>
        </w:rPr>
        <w:t xml:space="preserve">8.2 Bio Management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b/>
                <w:bCs/>
                <w:color w:val="5B0FA8"/>
                <w:sz w:val="20"/>
                <w:szCs w:val="20"/>
              </w:rPr>
              <w:t xml:space="preserve">Word Count &amp; Quality Meter</w:t>
            </w:r>
          </w:p>
        </w:tc>
        <w:tc>
          <w:tcPr>
            <w:tcW w:type="dxa" w:w="626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color w:val="1E2938"/>
                <w:sz w:val="20"/>
                <w:szCs w:val="20"/>
              </w:rPr>
              <w:t xml:space="preserve">Live word count with min/max guidance per section. Overall bio quality score (0–100) based on: structure completeness, engagement language score, specificity (named roles, companies, numbers), and readability index.</w:t>
            </w:r>
          </w:p>
        </w:tc>
      </w:tr>
      <w:tr>
        <w:tc>
          <w:tcPr>
            <w:tcW w:type="dxa" w:w="310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b/>
                <w:bCs/>
                <w:color w:val="5B0FA8"/>
                <w:sz w:val="20"/>
                <w:szCs w:val="20"/>
              </w:rPr>
              <w:t xml:space="preserve">AI Bio Suggestion Engine</w:t>
            </w:r>
          </w:p>
        </w:tc>
        <w:tc>
          <w:tcPr>
            <w:tcW w:type="dxa" w:w="626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color w:val="1E2938"/>
                <w:sz w:val="20"/>
                <w:szCs w:val="20"/>
              </w:rPr>
              <w:t xml:space="preserve">Trainer can press "Generate Bio Draft" — the system generates a structured bio draft from their verified experience, certifications, and domain tags. The draft is always in first person and flagged as "Draft — please personalize before publishing."</w:t>
            </w:r>
          </w:p>
        </w:tc>
      </w:tr>
      <w:tr>
        <w:tc>
          <w:tcPr>
            <w:tcW w:type="dxa" w:w="310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b/>
                <w:bCs/>
                <w:color w:val="5B0FA8"/>
                <w:sz w:val="20"/>
                <w:szCs w:val="20"/>
              </w:rPr>
              <w:t xml:space="preserve">Tone Analyzer</w:t>
            </w:r>
          </w:p>
        </w:tc>
        <w:tc>
          <w:tcPr>
            <w:tcW w:type="dxa" w:w="626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color w:val="1E2938"/>
                <w:sz w:val="20"/>
                <w:szCs w:val="20"/>
              </w:rPr>
              <w:t xml:space="preserve">AI analyzes the bio for tone: Professional, Conversational, Authoritative, or Overly Formal. Suggests adjustments: "Your bio reads very formally. For industrial visit facilitation, a more conversational tone converts better with institute coordinators."</w:t>
            </w:r>
          </w:p>
        </w:tc>
      </w:tr>
      <w:tr>
        <w:tc>
          <w:tcPr>
            <w:tcW w:type="dxa" w:w="310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b/>
                <w:bCs/>
                <w:color w:val="5B0FA8"/>
                <w:sz w:val="20"/>
                <w:szCs w:val="20"/>
              </w:rPr>
              <w:t xml:space="preserve">Multilingual Bio</w:t>
            </w:r>
          </w:p>
        </w:tc>
        <w:tc>
          <w:tcPr>
            <w:tcW w:type="dxa" w:w="626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color w:val="1E2938"/>
                <w:sz w:val="20"/>
                <w:szCs w:val="20"/>
              </w:rPr>
              <w:t xml:space="preserve">Trainer can maintain the bio in up to 3 languages. Platform displays the bio in the language matching the browsing institute's registered preference. English is always required. Regional language bio increases visibility with regional institutes.</w:t>
            </w:r>
          </w:p>
        </w:tc>
      </w:tr>
      <w:tr>
        <w:tc>
          <w:tcPr>
            <w:tcW w:type="dxa" w:w="310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b/>
                <w:bCs/>
                <w:color w:val="5B0FA8"/>
                <w:sz w:val="20"/>
                <w:szCs w:val="20"/>
              </w:rPr>
              <w:t xml:space="preserve">Bio Version History</w:t>
            </w:r>
          </w:p>
        </w:tc>
        <w:tc>
          <w:tcPr>
            <w:tcW w:type="dxa" w:w="626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color w:val="1E2938"/>
                <w:sz w:val="20"/>
                <w:szCs w:val="20"/>
              </w:rPr>
              <w:t xml:space="preserve">System maintains the last 10 versions of the bio. Trainer can revert to any previous version. Each version timestamped. Useful for A/B testing bio versions for booking conversion.</w:t>
            </w:r>
          </w:p>
        </w:tc>
      </w:tr>
      <w:tr>
        <w:tc>
          <w:tcPr>
            <w:tcW w:type="dxa" w:w="310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b/>
                <w:bCs/>
                <w:color w:val="5B0FA8"/>
                <w:sz w:val="20"/>
                <w:szCs w:val="20"/>
              </w:rPr>
              <w:t xml:space="preserve">Bio Trustworthiness Check</w:t>
            </w:r>
          </w:p>
        </w:tc>
        <w:tc>
          <w:tcPr>
            <w:tcW w:type="dxa" w:w="626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color w:val="1E2938"/>
                <w:sz w:val="20"/>
                <w:szCs w:val="20"/>
              </w:rPr>
              <w:t xml:space="preserve">AI scans the bio for unverifiable superlatives ("World's best", "India's top trainer", "1000s of students trained") and prompts the trainer to either verify the claim or rephrase. Platform data must support any claim made in the bio.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9C5500" w:val="clear"/>
            <w:tcMar>
              <w:top w:type="dxa" w:w="200"/>
              <w:left w:type="dxa" w:w="100"/>
              <w:bottom w:type="dxa" w:w="200"/>
              <w:right w:type="dxa" w:w="100"/>
            </w:tcMar>
            <w:vAlign w:val="center"/>
          </w:tcPr>
          <w:p>
            <w:pPr>
              <w:jc w:val="center"/>
            </w:pPr>
            <w:r>
              <w:rPr>
                <w:rFonts w:ascii="Calibri" w:cs="Calibri" w:eastAsia="Calibri" w:hAnsi="Calibri"/>
                <w:b/>
                <w:bCs/>
                <w:color w:val="E6B000"/>
                <w:sz w:val="54"/>
                <w:szCs w:val="54"/>
              </w:rPr>
              <w:t xml:space="preserve">F9</w:t>
            </w:r>
          </w:p>
        </w:tc>
        <w:tc>
          <w:tcPr>
            <w:tcW w:type="dxa" w:w="8260"/>
            <w:tcBorders>
              <w:top w:val="none" w:color="FFFFFF" w:sz="0"/>
              <w:left w:val="none" w:color="FFFFFF" w:sz="0"/>
              <w:bottom w:val="none" w:color="FFFFFF" w:sz="0"/>
              <w:right w:val="none" w:color="FFFFFF" w:sz="0"/>
            </w:tcBorders>
            <w:shd w:fill="9C5500" w:val="clear"/>
            <w:tcMar>
              <w:top w:type="dxa" w:w="180"/>
              <w:left w:type="dxa" w:w="220"/>
              <w:bottom w:type="dxa" w:w="180"/>
              <w:right w:type="dxa" w:w="120"/>
            </w:tcMar>
          </w:tcPr>
          <w:p>
            <w:r>
              <w:rPr>
                <w:rFonts w:ascii="Calibri" w:cs="Calibri" w:eastAsia="Calibri" w:hAnsi="Calibri"/>
                <w:b/>
                <w:bCs/>
                <w:color w:val="FFFFFF"/>
                <w:sz w:val="36"/>
                <w:szCs w:val="36"/>
              </w:rPr>
              <w:t xml:space="preserve">Profile Media Uploads</w:t>
            </w:r>
          </w:p>
          <w:p>
            <w:pPr>
              <w:spacing w:before="30" w:after="0"/>
            </w:pPr>
            <w:r>
              <w:rPr>
                <w:rFonts w:ascii="Calibri" w:cs="Calibri" w:eastAsia="Calibri" w:hAnsi="Calibri"/>
                <w:i/>
                <w:iCs/>
                <w:color w:val="CCDAEE"/>
                <w:sz w:val="19"/>
                <w:szCs w:val="19"/>
              </w:rPr>
              <w:t xml:space="preserve">The visual and audio portfolio — photos, videos, and documents that make the profile come alive beyond text</w:t>
            </w:r>
          </w:p>
        </w:tc>
      </w:tr>
    </w:tbl>
    <w:p>
      <w:pPr>
        <w:spacing w:before="120" w:after="0"/>
      </w:pPr>
      <w:r>
        <w:t xml:space="preserve"/>
      </w:r>
    </w:p>
    <w:p>
      <w:pPr>
        <w:spacing w:before="340" w:after="150"/>
      </w:pPr>
      <w:r>
        <w:rPr>
          <w:rFonts w:ascii="Calibri" w:cs="Calibri" w:eastAsia="Calibri" w:hAnsi="Calibri"/>
          <w:b/>
          <w:bCs/>
          <w:color w:val="9C5500"/>
          <w:sz w:val="42"/>
          <w:szCs w:val="42"/>
        </w:rPr>
        <w:t xml:space="preserve">Feature 9: Profile Media Uploads</w:t>
      </w:r>
    </w:p>
    <w:p>
      <w:pPr>
        <w:pBdr>
          <w:bottom w:val="single" w:color="9C5500" w:sz="8"/>
        </w:pBdr>
        <w:spacing w:before="80" w:after="80"/>
      </w:pPr>
      <w:r>
        <w:t xml:space="preserve"/>
      </w:r>
    </w:p>
    <w:p>
      <w:pPr>
        <w:spacing w:before="60" w:after="60"/>
      </w:pPr>
      <w:r>
        <w:rPr>
          <w:rFonts w:ascii="Calibri" w:cs="Calibri" w:eastAsia="Calibri" w:hAnsi="Calibri"/>
          <w:b w:val="false"/>
          <w:bCs w:val="false"/>
          <w:i w:val="false"/>
          <w:iCs w:val="false"/>
          <w:color w:val="1E2938"/>
          <w:sz w:val="21"/>
          <w:szCs w:val="21"/>
        </w:rPr>
        <w:t xml:space="preserve">Profile Media Uploads is the multimedia layer of the trainer profile. Research consistently shows that profiles with high-quality photos and videos receive significantly more engagement than text-only profiles. For ECOSKILLER trainers, media serves a specific function: it gives institutes visual confidence that the trainer can perform — in a real plant, a real classroom, or a real board room.</w:t>
      </w:r>
    </w:p>
    <w:p>
      <w:pPr>
        <w:spacing w:before="80" w:after="0"/>
      </w:pPr>
      <w:r>
        <w:t xml:space="preserve"/>
      </w:r>
    </w:p>
    <w:p>
      <w:pPr>
        <w:spacing w:before="260" w:after="110"/>
      </w:pPr>
      <w:r>
        <w:rPr>
          <w:rFonts w:ascii="Calibri" w:cs="Calibri" w:eastAsia="Calibri" w:hAnsi="Calibri"/>
          <w:b/>
          <w:bCs/>
          <w:color w:val="9C5500"/>
          <w:sz w:val="31"/>
          <w:szCs w:val="31"/>
        </w:rPr>
        <w:t xml:space="preserve">9.1 Media Types &amp;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980"/>
        <w:gridCol w:w="2380"/>
      </w:tblGrid>
      <w:tr>
        <w:trPr>
          <w:tblHeader/>
        </w:trPr>
        <w:tc>
          <w:tcPr>
            <w:tcW w:type="dxa" w:w="1700"/>
            <w:tcBorders>
              <w:top w:val="single" w:color="C3C8D3" w:sz="1"/>
              <w:left w:val="single" w:color="C3C8D3" w:sz="1"/>
              <w:bottom w:val="single" w:color="C3C8D3" w:sz="1"/>
              <w:right w:val="single" w:color="C3C8D3" w:sz="1"/>
            </w:tcBorders>
            <w:shd w:fill="9C5500" w:val="clear"/>
            <w:tcMar>
              <w:top w:type="dxa" w:w="100"/>
              <w:left w:type="dxa" w:w="120"/>
              <w:bottom w:type="dxa" w:w="100"/>
              <w:right w:type="dxa" w:w="120"/>
            </w:tcMar>
          </w:tcPr>
          <w:p>
            <w:pPr>
              <w:jc w:val="center"/>
            </w:pPr>
            <w:r>
              <w:rPr>
                <w:rFonts w:ascii="Calibri" w:cs="Calibri" w:eastAsia="Calibri" w:hAnsi="Calibri"/>
                <w:b/>
                <w:bCs/>
                <w:color w:val="FFFFFF"/>
                <w:sz w:val="19"/>
                <w:szCs w:val="19"/>
              </w:rPr>
              <w:t xml:space="preserve">Media Type</w:t>
            </w:r>
          </w:p>
        </w:tc>
        <w:tc>
          <w:tcPr>
            <w:tcW w:type="dxa" w:w="2300"/>
            <w:tcBorders>
              <w:top w:val="single" w:color="C3C8D3" w:sz="1"/>
              <w:left w:val="single" w:color="C3C8D3" w:sz="1"/>
              <w:bottom w:val="single" w:color="C3C8D3" w:sz="1"/>
              <w:right w:val="single" w:color="C3C8D3" w:sz="1"/>
            </w:tcBorders>
            <w:shd w:fill="9C5500" w:val="clear"/>
            <w:tcMar>
              <w:top w:type="dxa" w:w="100"/>
              <w:left w:type="dxa" w:w="120"/>
              <w:bottom w:type="dxa" w:w="100"/>
              <w:right w:type="dxa" w:w="120"/>
            </w:tcMar>
          </w:tcPr>
          <w:p>
            <w:pPr>
              <w:jc w:val="center"/>
            </w:pPr>
            <w:r>
              <w:rPr>
                <w:rFonts w:ascii="Calibri" w:cs="Calibri" w:eastAsia="Calibri" w:hAnsi="Calibri"/>
                <w:b/>
                <w:bCs/>
                <w:color w:val="FFFFFF"/>
                <w:sz w:val="19"/>
                <w:szCs w:val="19"/>
              </w:rPr>
              <w:t xml:space="preserve">Format &amp; Size Limits</w:t>
            </w:r>
          </w:p>
        </w:tc>
        <w:tc>
          <w:tcPr>
            <w:tcW w:type="dxa" w:w="2980"/>
            <w:tcBorders>
              <w:top w:val="single" w:color="C3C8D3" w:sz="1"/>
              <w:left w:val="single" w:color="C3C8D3" w:sz="1"/>
              <w:bottom w:val="single" w:color="C3C8D3" w:sz="1"/>
              <w:right w:val="single" w:color="C3C8D3" w:sz="1"/>
            </w:tcBorders>
            <w:shd w:fill="9C5500" w:val="clear"/>
            <w:tcMar>
              <w:top w:type="dxa" w:w="100"/>
              <w:left w:type="dxa" w:w="120"/>
              <w:bottom w:type="dxa" w:w="100"/>
              <w:right w:type="dxa" w:w="120"/>
            </w:tcMar>
          </w:tcPr>
          <w:p>
            <w:pPr>
              <w:jc w:val="center"/>
            </w:pPr>
            <w:r>
              <w:rPr>
                <w:rFonts w:ascii="Calibri" w:cs="Calibri" w:eastAsia="Calibri" w:hAnsi="Calibri"/>
                <w:b/>
                <w:bCs/>
                <w:color w:val="FFFFFF"/>
                <w:sz w:val="19"/>
                <w:szCs w:val="19"/>
              </w:rPr>
              <w:t xml:space="preserve">Content Guidelines</w:t>
            </w:r>
          </w:p>
        </w:tc>
        <w:tc>
          <w:tcPr>
            <w:tcW w:type="dxa" w:w="2380"/>
            <w:tcBorders>
              <w:top w:val="single" w:color="C3C8D3" w:sz="1"/>
              <w:left w:val="single" w:color="C3C8D3" w:sz="1"/>
              <w:bottom w:val="single" w:color="C3C8D3" w:sz="1"/>
              <w:right w:val="single" w:color="C3C8D3" w:sz="1"/>
            </w:tcBorders>
            <w:shd w:fill="9C5500" w:val="clear"/>
            <w:tcMar>
              <w:top w:type="dxa" w:w="100"/>
              <w:left w:type="dxa" w:w="120"/>
              <w:bottom w:type="dxa" w:w="100"/>
              <w:right w:type="dxa" w:w="120"/>
            </w:tcMar>
          </w:tcPr>
          <w:p>
            <w:pPr>
              <w:jc w:val="center"/>
            </w:pPr>
            <w:r>
              <w:rPr>
                <w:rFonts w:ascii="Calibri" w:cs="Calibri" w:eastAsia="Calibri" w:hAnsi="Calibri"/>
                <w:b/>
                <w:bCs/>
                <w:color w:val="FFFFFF"/>
                <w:sz w:val="19"/>
                <w:szCs w:val="19"/>
              </w:rPr>
              <w:t xml:space="preserve">Platform Use</w:t>
            </w:r>
          </w:p>
        </w:tc>
      </w:tr>
      <w:tr>
        <w:tc>
          <w:tcPr>
            <w:tcW w:type="dxa" w:w="1700"/>
            <w:tcBorders>
              <w:top w:val="single" w:color="C3C8D3" w:sz="1"/>
              <w:left w:val="single" w:color="C3C8D3" w:sz="1"/>
              <w:bottom w:val="single" w:color="C3C8D3" w:sz="1"/>
              <w:right w:val="single" w:color="C3C8D3" w:sz="1"/>
            </w:tcBorders>
            <w:shd w:fill="F4F7FA" w:val="clear"/>
            <w:tcMar>
              <w:top w:type="dxa" w:w="85"/>
              <w:left w:type="dxa" w:w="120"/>
              <w:bottom w:type="dxa" w:w="85"/>
              <w:right w:type="dxa" w:w="120"/>
            </w:tcMar>
          </w:tcPr>
          <w:p>
            <w:r>
              <w:rPr>
                <w:rFonts w:ascii="Calibri" w:cs="Calibri" w:eastAsia="Calibri" w:hAnsi="Calibri"/>
                <w:b/>
                <w:bCs/>
                <w:color w:val="0B1E38"/>
                <w:sz w:val="19"/>
                <w:szCs w:val="19"/>
              </w:rPr>
              <w:t xml:space="preserve">Profile Photo</w:t>
            </w:r>
          </w:p>
        </w:tc>
        <w:tc>
          <w:tcPr>
            <w:tcW w:type="dxa" w:w="2300"/>
            <w:tcBorders>
              <w:top w:val="single" w:color="C3C8D3" w:sz="1"/>
              <w:left w:val="single" w:color="C3C8D3" w:sz="1"/>
              <w:bottom w:val="single" w:color="C3C8D3" w:sz="1"/>
              <w:right w:val="single" w:color="C3C8D3" w:sz="1"/>
            </w:tcBorders>
            <w:shd w:fill="F4F7FA" w:val="clear"/>
            <w:tcMar>
              <w:top w:type="dxa" w:w="85"/>
              <w:left w:type="dxa" w:w="120"/>
              <w:bottom w:type="dxa" w:w="85"/>
              <w:right w:type="dxa" w:w="120"/>
            </w:tcMar>
          </w:tcPr>
          <w:p>
            <w:r>
              <w:rPr>
                <w:rFonts w:ascii="Calibri" w:cs="Calibri" w:eastAsia="Calibri" w:hAnsi="Calibri"/>
                <w:b w:val="false"/>
                <w:bCs w:val="false"/>
                <w:color w:val="1E2938"/>
                <w:sz w:val="18"/>
                <w:szCs w:val="18"/>
              </w:rPr>
              <w:t xml:space="preserve">JPEG/PNG, min 400×400, max 5MB, square crop preferred</w:t>
            </w:r>
          </w:p>
        </w:tc>
        <w:tc>
          <w:tcPr>
            <w:tcW w:type="dxa" w:w="2980"/>
            <w:tcBorders>
              <w:top w:val="single" w:color="C3C8D3" w:sz="1"/>
              <w:left w:val="single" w:color="C3C8D3" w:sz="1"/>
              <w:bottom w:val="single" w:color="C3C8D3" w:sz="1"/>
              <w:right w:val="single" w:color="C3C8D3" w:sz="1"/>
            </w:tcBorders>
            <w:shd w:fill="F4F7FA" w:val="clear"/>
            <w:tcMar>
              <w:top w:type="dxa" w:w="85"/>
              <w:left w:type="dxa" w:w="120"/>
              <w:bottom w:type="dxa" w:w="85"/>
              <w:right w:type="dxa" w:w="120"/>
            </w:tcMar>
          </w:tcPr>
          <w:p>
            <w:r>
              <w:rPr>
                <w:rFonts w:ascii="Calibri" w:cs="Calibri" w:eastAsia="Calibri" w:hAnsi="Calibri"/>
                <w:b w:val="false"/>
                <w:bCs w:val="false"/>
                <w:color w:val="1E2938"/>
                <w:sz w:val="18"/>
                <w:szCs w:val="18"/>
              </w:rPr>
              <w:t xml:space="preserve">Professional attire, neutral background or domain-relevant setting (lab, plant, classroom). No selfies, casual settings, or group photos. Face must occupy 60%+ of frame.</w:t>
            </w:r>
          </w:p>
        </w:tc>
        <w:tc>
          <w:tcPr>
            <w:tcW w:type="dxa" w:w="2380"/>
            <w:tcBorders>
              <w:top w:val="single" w:color="C3C8D3" w:sz="1"/>
              <w:left w:val="single" w:color="C3C8D3" w:sz="1"/>
              <w:bottom w:val="single" w:color="C3C8D3" w:sz="1"/>
              <w:right w:val="single" w:color="C3C8D3" w:sz="1"/>
            </w:tcBorders>
            <w:shd w:fill="F4F7FA" w:val="clear"/>
            <w:tcMar>
              <w:top w:type="dxa" w:w="85"/>
              <w:left w:type="dxa" w:w="120"/>
              <w:bottom w:type="dxa" w:w="85"/>
              <w:right w:type="dxa" w:w="120"/>
            </w:tcMar>
          </w:tcPr>
          <w:p>
            <w:r>
              <w:rPr>
                <w:rFonts w:ascii="Calibri" w:cs="Calibri" w:eastAsia="Calibri" w:hAnsi="Calibri"/>
                <w:b w:val="false"/>
                <w:bCs w:val="false"/>
                <w:color w:val="1E2938"/>
                <w:sz w:val="18"/>
                <w:szCs w:val="18"/>
              </w:rPr>
              <w:t xml:space="preserve">Search results, booking cards, visit app, parent notifications, certificates</w:t>
            </w:r>
          </w:p>
        </w:tc>
      </w:tr>
      <w:tr>
        <w:tc>
          <w:tcPr>
            <w:tcW w:type="dxa" w:w="1700"/>
            <w:tcBorders>
              <w:top w:val="single" w:color="C3C8D3" w:sz="1"/>
              <w:left w:val="single" w:color="C3C8D3" w:sz="1"/>
              <w:bottom w:val="single" w:color="C3C8D3" w:sz="1"/>
              <w:right w:val="single" w:color="C3C8D3" w:sz="1"/>
            </w:tcBorders>
            <w:shd w:fill="FFFFFF" w:val="clear"/>
            <w:tcMar>
              <w:top w:type="dxa" w:w="85"/>
              <w:left w:type="dxa" w:w="120"/>
              <w:bottom w:type="dxa" w:w="85"/>
              <w:right w:type="dxa" w:w="120"/>
            </w:tcMar>
          </w:tcPr>
          <w:p>
            <w:r>
              <w:rPr>
                <w:rFonts w:ascii="Calibri" w:cs="Calibri" w:eastAsia="Calibri" w:hAnsi="Calibri"/>
                <w:b/>
                <w:bCs/>
                <w:color w:val="0B1E38"/>
                <w:sz w:val="19"/>
                <w:szCs w:val="19"/>
              </w:rPr>
              <w:t xml:space="preserve">Cover Banner Image</w:t>
            </w:r>
          </w:p>
        </w:tc>
        <w:tc>
          <w:tcPr>
            <w:tcW w:type="dxa" w:w="2300"/>
            <w:tcBorders>
              <w:top w:val="single" w:color="C3C8D3" w:sz="1"/>
              <w:left w:val="single" w:color="C3C8D3" w:sz="1"/>
              <w:bottom w:val="single" w:color="C3C8D3" w:sz="1"/>
              <w:right w:val="single" w:color="C3C8D3" w:sz="1"/>
            </w:tcBorders>
            <w:shd w:fill="FFFFFF" w:val="clear"/>
            <w:tcMar>
              <w:top w:type="dxa" w:w="85"/>
              <w:left w:type="dxa" w:w="120"/>
              <w:bottom w:type="dxa" w:w="85"/>
              <w:right w:type="dxa" w:w="120"/>
            </w:tcMar>
          </w:tcPr>
          <w:p>
            <w:r>
              <w:rPr>
                <w:rFonts w:ascii="Calibri" w:cs="Calibri" w:eastAsia="Calibri" w:hAnsi="Calibri"/>
                <w:b w:val="false"/>
                <w:bCs w:val="false"/>
                <w:color w:val="1E2938"/>
                <w:sz w:val="18"/>
                <w:szCs w:val="18"/>
              </w:rPr>
              <w:t xml:space="preserve">JPEG/PNG, 1200×300px, max 3MB</w:t>
            </w:r>
          </w:p>
        </w:tc>
        <w:tc>
          <w:tcPr>
            <w:tcW w:type="dxa" w:w="2980"/>
            <w:tcBorders>
              <w:top w:val="single" w:color="C3C8D3" w:sz="1"/>
              <w:left w:val="single" w:color="C3C8D3" w:sz="1"/>
              <w:bottom w:val="single" w:color="C3C8D3" w:sz="1"/>
              <w:right w:val="single" w:color="C3C8D3" w:sz="1"/>
            </w:tcBorders>
            <w:shd w:fill="FFFFFF" w:val="clear"/>
            <w:tcMar>
              <w:top w:type="dxa" w:w="85"/>
              <w:left w:type="dxa" w:w="120"/>
              <w:bottom w:type="dxa" w:w="85"/>
              <w:right w:type="dxa" w:w="120"/>
            </w:tcMar>
          </w:tcPr>
          <w:p>
            <w:r>
              <w:rPr>
                <w:rFonts w:ascii="Calibri" w:cs="Calibri" w:eastAsia="Calibri" w:hAnsi="Calibri"/>
                <w:b w:val="false"/>
                <w:bCs w:val="false"/>
                <w:color w:val="1E2938"/>
                <w:sz w:val="18"/>
                <w:szCs w:val="18"/>
              </w:rPr>
              <w:t xml:space="preserve">Domain-relevant: plant floor, lab equipment, classroom with students, financial trading floor. Or use platform-generated default.</w:t>
            </w:r>
          </w:p>
        </w:tc>
        <w:tc>
          <w:tcPr>
            <w:tcW w:type="dxa" w:w="2380"/>
            <w:tcBorders>
              <w:top w:val="single" w:color="C3C8D3" w:sz="1"/>
              <w:left w:val="single" w:color="C3C8D3" w:sz="1"/>
              <w:bottom w:val="single" w:color="C3C8D3" w:sz="1"/>
              <w:right w:val="single" w:color="C3C8D3" w:sz="1"/>
            </w:tcBorders>
            <w:shd w:fill="FFFFFF" w:val="clear"/>
            <w:tcMar>
              <w:top w:type="dxa" w:w="85"/>
              <w:left w:type="dxa" w:w="120"/>
              <w:bottom w:type="dxa" w:w="85"/>
              <w:right w:type="dxa" w:w="120"/>
            </w:tcMar>
          </w:tcPr>
          <w:p>
            <w:r>
              <w:rPr>
                <w:rFonts w:ascii="Calibri" w:cs="Calibri" w:eastAsia="Calibri" w:hAnsi="Calibri"/>
                <w:b w:val="false"/>
                <w:bCs w:val="false"/>
                <w:color w:val="1E2938"/>
                <w:sz w:val="18"/>
                <w:szCs w:val="18"/>
              </w:rPr>
              <w:t xml:space="preserve">Profile page header background</w:t>
            </w:r>
          </w:p>
        </w:tc>
      </w:tr>
      <w:tr>
        <w:tc>
          <w:tcPr>
            <w:tcW w:type="dxa" w:w="1700"/>
            <w:tcBorders>
              <w:top w:val="single" w:color="C3C8D3" w:sz="1"/>
              <w:left w:val="single" w:color="C3C8D3" w:sz="1"/>
              <w:bottom w:val="single" w:color="C3C8D3" w:sz="1"/>
              <w:right w:val="single" w:color="C3C8D3" w:sz="1"/>
            </w:tcBorders>
            <w:shd w:fill="F4F7FA" w:val="clear"/>
            <w:tcMar>
              <w:top w:type="dxa" w:w="85"/>
              <w:left w:type="dxa" w:w="120"/>
              <w:bottom w:type="dxa" w:w="85"/>
              <w:right w:type="dxa" w:w="120"/>
            </w:tcMar>
          </w:tcPr>
          <w:p>
            <w:r>
              <w:rPr>
                <w:rFonts w:ascii="Calibri" w:cs="Calibri" w:eastAsia="Calibri" w:hAnsi="Calibri"/>
                <w:b/>
                <w:bCs/>
                <w:color w:val="0B1E38"/>
                <w:sz w:val="19"/>
                <w:szCs w:val="19"/>
              </w:rPr>
              <w:t xml:space="preserve">Introduction Video</w:t>
            </w:r>
          </w:p>
        </w:tc>
        <w:tc>
          <w:tcPr>
            <w:tcW w:type="dxa" w:w="2300"/>
            <w:tcBorders>
              <w:top w:val="single" w:color="C3C8D3" w:sz="1"/>
              <w:left w:val="single" w:color="C3C8D3" w:sz="1"/>
              <w:bottom w:val="single" w:color="C3C8D3" w:sz="1"/>
              <w:right w:val="single" w:color="C3C8D3" w:sz="1"/>
            </w:tcBorders>
            <w:shd w:fill="F4F7FA" w:val="clear"/>
            <w:tcMar>
              <w:top w:type="dxa" w:w="85"/>
              <w:left w:type="dxa" w:w="120"/>
              <w:bottom w:type="dxa" w:w="85"/>
              <w:right w:type="dxa" w:w="120"/>
            </w:tcMar>
          </w:tcPr>
          <w:p>
            <w:r>
              <w:rPr>
                <w:rFonts w:ascii="Calibri" w:cs="Calibri" w:eastAsia="Calibri" w:hAnsi="Calibri"/>
                <w:b w:val="false"/>
                <w:bCs w:val="false"/>
                <w:color w:val="1E2938"/>
                <w:sz w:val="18"/>
                <w:szCs w:val="18"/>
              </w:rPr>
              <w:t xml:space="preserve">MP4/MOV, max 300MB, max 3 minutes</w:t>
            </w:r>
          </w:p>
        </w:tc>
        <w:tc>
          <w:tcPr>
            <w:tcW w:type="dxa" w:w="2980"/>
            <w:tcBorders>
              <w:top w:val="single" w:color="C3C8D3" w:sz="1"/>
              <w:left w:val="single" w:color="C3C8D3" w:sz="1"/>
              <w:bottom w:val="single" w:color="C3C8D3" w:sz="1"/>
              <w:right w:val="single" w:color="C3C8D3" w:sz="1"/>
            </w:tcBorders>
            <w:shd w:fill="F4F7FA" w:val="clear"/>
            <w:tcMar>
              <w:top w:type="dxa" w:w="85"/>
              <w:left w:type="dxa" w:w="120"/>
              <w:bottom w:type="dxa" w:w="85"/>
              <w:right w:type="dxa" w:w="120"/>
            </w:tcMar>
          </w:tcPr>
          <w:p>
            <w:r>
              <w:rPr>
                <w:rFonts w:ascii="Calibri" w:cs="Calibri" w:eastAsia="Calibri" w:hAnsi="Calibri"/>
                <w:b w:val="false"/>
                <w:bCs w:val="false"/>
                <w:color w:val="1E2938"/>
                <w:sz w:val="18"/>
                <w:szCs w:val="18"/>
              </w:rPr>
              <w:t xml:space="preserve">Trainer speaking directly to camera: who they are, their domain, and what an industrial visit with them looks like. Professional setting. Subtitles auto-generated.</w:t>
            </w:r>
          </w:p>
        </w:tc>
        <w:tc>
          <w:tcPr>
            <w:tcW w:type="dxa" w:w="2380"/>
            <w:tcBorders>
              <w:top w:val="single" w:color="C3C8D3" w:sz="1"/>
              <w:left w:val="single" w:color="C3C8D3" w:sz="1"/>
              <w:bottom w:val="single" w:color="C3C8D3" w:sz="1"/>
              <w:right w:val="single" w:color="C3C8D3" w:sz="1"/>
            </w:tcBorders>
            <w:shd w:fill="F4F7FA" w:val="clear"/>
            <w:tcMar>
              <w:top w:type="dxa" w:w="85"/>
              <w:left w:type="dxa" w:w="120"/>
              <w:bottom w:type="dxa" w:w="85"/>
              <w:right w:type="dxa" w:w="120"/>
            </w:tcMar>
          </w:tcPr>
          <w:p>
            <w:r>
              <w:rPr>
                <w:rFonts w:ascii="Calibri" w:cs="Calibri" w:eastAsia="Calibri" w:hAnsi="Calibri"/>
                <w:b w:val="false"/>
                <w:bCs w:val="false"/>
                <w:color w:val="1E2938"/>
                <w:sz w:val="18"/>
                <w:szCs w:val="18"/>
              </w:rPr>
              <w:t xml:space="preserve">Featured on profile page, shown in booking inquiry previews</w:t>
            </w:r>
          </w:p>
        </w:tc>
      </w:tr>
      <w:tr>
        <w:tc>
          <w:tcPr>
            <w:tcW w:type="dxa" w:w="1700"/>
            <w:tcBorders>
              <w:top w:val="single" w:color="C3C8D3" w:sz="1"/>
              <w:left w:val="single" w:color="C3C8D3" w:sz="1"/>
              <w:bottom w:val="single" w:color="C3C8D3" w:sz="1"/>
              <w:right w:val="single" w:color="C3C8D3" w:sz="1"/>
            </w:tcBorders>
            <w:shd w:fill="FFFFFF" w:val="clear"/>
            <w:tcMar>
              <w:top w:type="dxa" w:w="85"/>
              <w:left w:type="dxa" w:w="120"/>
              <w:bottom w:type="dxa" w:w="85"/>
              <w:right w:type="dxa" w:w="120"/>
            </w:tcMar>
          </w:tcPr>
          <w:p>
            <w:r>
              <w:rPr>
                <w:rFonts w:ascii="Calibri" w:cs="Calibri" w:eastAsia="Calibri" w:hAnsi="Calibri"/>
                <w:b/>
                <w:bCs/>
                <w:color w:val="0B1E38"/>
                <w:sz w:val="19"/>
                <w:szCs w:val="19"/>
              </w:rPr>
              <w:t xml:space="preserve">Visit Highlight Reel</w:t>
            </w:r>
          </w:p>
        </w:tc>
        <w:tc>
          <w:tcPr>
            <w:tcW w:type="dxa" w:w="2300"/>
            <w:tcBorders>
              <w:top w:val="single" w:color="C3C8D3" w:sz="1"/>
              <w:left w:val="single" w:color="C3C8D3" w:sz="1"/>
              <w:bottom w:val="single" w:color="C3C8D3" w:sz="1"/>
              <w:right w:val="single" w:color="C3C8D3" w:sz="1"/>
            </w:tcBorders>
            <w:shd w:fill="FFFFFF" w:val="clear"/>
            <w:tcMar>
              <w:top w:type="dxa" w:w="85"/>
              <w:left w:type="dxa" w:w="120"/>
              <w:bottom w:type="dxa" w:w="85"/>
              <w:right w:type="dxa" w:w="120"/>
            </w:tcMar>
          </w:tcPr>
          <w:p>
            <w:r>
              <w:rPr>
                <w:rFonts w:ascii="Calibri" w:cs="Calibri" w:eastAsia="Calibri" w:hAnsi="Calibri"/>
                <w:b w:val="false"/>
                <w:bCs w:val="false"/>
                <w:color w:val="1E2938"/>
                <w:sz w:val="18"/>
                <w:szCs w:val="18"/>
              </w:rPr>
              <w:t xml:space="preserve">MP4/MOV, max 500MB, max 5 minutes, 1 per visit type</w:t>
            </w:r>
          </w:p>
        </w:tc>
        <w:tc>
          <w:tcPr>
            <w:tcW w:type="dxa" w:w="2980"/>
            <w:tcBorders>
              <w:top w:val="single" w:color="C3C8D3" w:sz="1"/>
              <w:left w:val="single" w:color="C3C8D3" w:sz="1"/>
              <w:bottom w:val="single" w:color="C3C8D3" w:sz="1"/>
              <w:right w:val="single" w:color="C3C8D3" w:sz="1"/>
            </w:tcBorders>
            <w:shd w:fill="FFFFFF" w:val="clear"/>
            <w:tcMar>
              <w:top w:type="dxa" w:w="85"/>
              <w:left w:type="dxa" w:w="120"/>
              <w:bottom w:type="dxa" w:w="85"/>
              <w:right w:type="dxa" w:w="120"/>
            </w:tcMar>
          </w:tcPr>
          <w:p>
            <w:r>
              <w:rPr>
                <w:rFonts w:ascii="Calibri" w:cs="Calibri" w:eastAsia="Calibri" w:hAnsi="Calibri"/>
                <w:b w:val="false"/>
                <w:bCs w:val="false"/>
                <w:color w:val="1E2938"/>
                <w:sz w:val="18"/>
                <w:szCs w:val="18"/>
              </w:rPr>
              <w:t xml:space="preserve">Short clips from actual industrial visits conducted (student consent required). Shows trainer in action: explaining equipment, guiding groups, facilitating discussions.</w:t>
            </w:r>
          </w:p>
        </w:tc>
        <w:tc>
          <w:tcPr>
            <w:tcW w:type="dxa" w:w="2380"/>
            <w:tcBorders>
              <w:top w:val="single" w:color="C3C8D3" w:sz="1"/>
              <w:left w:val="single" w:color="C3C8D3" w:sz="1"/>
              <w:bottom w:val="single" w:color="C3C8D3" w:sz="1"/>
              <w:right w:val="single" w:color="C3C8D3" w:sz="1"/>
            </w:tcBorders>
            <w:shd w:fill="FFFFFF" w:val="clear"/>
            <w:tcMar>
              <w:top w:type="dxa" w:w="85"/>
              <w:left w:type="dxa" w:w="120"/>
              <w:bottom w:type="dxa" w:w="85"/>
              <w:right w:type="dxa" w:w="120"/>
            </w:tcMar>
          </w:tcPr>
          <w:p>
            <w:r>
              <w:rPr>
                <w:rFonts w:ascii="Calibri" w:cs="Calibri" w:eastAsia="Calibri" w:hAnsi="Calibri"/>
                <w:b w:val="false"/>
                <w:bCs w:val="false"/>
                <w:color w:val="1E2938"/>
                <w:sz w:val="18"/>
                <w:szCs w:val="18"/>
              </w:rPr>
              <w:t xml:space="preserve">Portfolio section, visit-type pages</w:t>
            </w:r>
          </w:p>
        </w:tc>
      </w:tr>
      <w:tr>
        <w:tc>
          <w:tcPr>
            <w:tcW w:type="dxa" w:w="1700"/>
            <w:tcBorders>
              <w:top w:val="single" w:color="C3C8D3" w:sz="1"/>
              <w:left w:val="single" w:color="C3C8D3" w:sz="1"/>
              <w:bottom w:val="single" w:color="C3C8D3" w:sz="1"/>
              <w:right w:val="single" w:color="C3C8D3" w:sz="1"/>
            </w:tcBorders>
            <w:shd w:fill="F4F7FA" w:val="clear"/>
            <w:tcMar>
              <w:top w:type="dxa" w:w="85"/>
              <w:left w:type="dxa" w:w="120"/>
              <w:bottom w:type="dxa" w:w="85"/>
              <w:right w:type="dxa" w:w="120"/>
            </w:tcMar>
          </w:tcPr>
          <w:p>
            <w:r>
              <w:rPr>
                <w:rFonts w:ascii="Calibri" w:cs="Calibri" w:eastAsia="Calibri" w:hAnsi="Calibri"/>
                <w:b/>
                <w:bCs/>
                <w:color w:val="0B1E38"/>
                <w:sz w:val="19"/>
                <w:szCs w:val="19"/>
              </w:rPr>
              <w:t xml:space="preserve">Domain Demo Video</w:t>
            </w:r>
          </w:p>
        </w:tc>
        <w:tc>
          <w:tcPr>
            <w:tcW w:type="dxa" w:w="2300"/>
            <w:tcBorders>
              <w:top w:val="single" w:color="C3C8D3" w:sz="1"/>
              <w:left w:val="single" w:color="C3C8D3" w:sz="1"/>
              <w:bottom w:val="single" w:color="C3C8D3" w:sz="1"/>
              <w:right w:val="single" w:color="C3C8D3" w:sz="1"/>
            </w:tcBorders>
            <w:shd w:fill="F4F7FA" w:val="clear"/>
            <w:tcMar>
              <w:top w:type="dxa" w:w="85"/>
              <w:left w:type="dxa" w:w="120"/>
              <w:bottom w:type="dxa" w:w="85"/>
              <w:right w:type="dxa" w:w="120"/>
            </w:tcMar>
          </w:tcPr>
          <w:p>
            <w:r>
              <w:rPr>
                <w:rFonts w:ascii="Calibri" w:cs="Calibri" w:eastAsia="Calibri" w:hAnsi="Calibri"/>
                <w:b w:val="false"/>
                <w:bCs w:val="false"/>
                <w:color w:val="1E2938"/>
                <w:sz w:val="18"/>
                <w:szCs w:val="18"/>
              </w:rPr>
              <w:t xml:space="preserve">MP4/MOV, max 300MB, max 5 minutes, up to 3 per domain</w:t>
            </w:r>
          </w:p>
        </w:tc>
        <w:tc>
          <w:tcPr>
            <w:tcW w:type="dxa" w:w="2980"/>
            <w:tcBorders>
              <w:top w:val="single" w:color="C3C8D3" w:sz="1"/>
              <w:left w:val="single" w:color="C3C8D3" w:sz="1"/>
              <w:bottom w:val="single" w:color="C3C8D3" w:sz="1"/>
              <w:right w:val="single" w:color="C3C8D3" w:sz="1"/>
            </w:tcBorders>
            <w:shd w:fill="F4F7FA" w:val="clear"/>
            <w:tcMar>
              <w:top w:type="dxa" w:w="85"/>
              <w:left w:type="dxa" w:w="120"/>
              <w:bottom w:type="dxa" w:w="85"/>
              <w:right w:type="dxa" w:w="120"/>
            </w:tcMar>
          </w:tcPr>
          <w:p>
            <w:r>
              <w:rPr>
                <w:rFonts w:ascii="Calibri" w:cs="Calibri" w:eastAsia="Calibri" w:hAnsi="Calibri"/>
                <w:b w:val="false"/>
                <w:bCs w:val="false"/>
                <w:color w:val="1E2938"/>
                <w:sz w:val="18"/>
                <w:szCs w:val="18"/>
              </w:rPr>
              <w:t xml:space="preserve">Trainer demonstrates a concept, tool, or process from their domain. Like a sample lesson. Subtitles required.</w:t>
            </w:r>
          </w:p>
        </w:tc>
        <w:tc>
          <w:tcPr>
            <w:tcW w:type="dxa" w:w="2380"/>
            <w:tcBorders>
              <w:top w:val="single" w:color="C3C8D3" w:sz="1"/>
              <w:left w:val="single" w:color="C3C8D3" w:sz="1"/>
              <w:bottom w:val="single" w:color="C3C8D3" w:sz="1"/>
              <w:right w:val="single" w:color="C3C8D3" w:sz="1"/>
            </w:tcBorders>
            <w:shd w:fill="F4F7FA" w:val="clear"/>
            <w:tcMar>
              <w:top w:type="dxa" w:w="85"/>
              <w:left w:type="dxa" w:w="120"/>
              <w:bottom w:type="dxa" w:w="85"/>
              <w:right w:type="dxa" w:w="120"/>
            </w:tcMar>
          </w:tcPr>
          <w:p>
            <w:r>
              <w:rPr>
                <w:rFonts w:ascii="Calibri" w:cs="Calibri" w:eastAsia="Calibri" w:hAnsi="Calibri"/>
                <w:b w:val="false"/>
                <w:bCs w:val="false"/>
                <w:color w:val="1E2938"/>
                <w:sz w:val="18"/>
                <w:szCs w:val="18"/>
              </w:rPr>
              <w:t xml:space="preserve">Domain specialization section, marketplace browsing</w:t>
            </w:r>
          </w:p>
        </w:tc>
      </w:tr>
      <w:tr>
        <w:tc>
          <w:tcPr>
            <w:tcW w:type="dxa" w:w="1700"/>
            <w:tcBorders>
              <w:top w:val="single" w:color="C3C8D3" w:sz="1"/>
              <w:left w:val="single" w:color="C3C8D3" w:sz="1"/>
              <w:bottom w:val="single" w:color="C3C8D3" w:sz="1"/>
              <w:right w:val="single" w:color="C3C8D3" w:sz="1"/>
            </w:tcBorders>
            <w:shd w:fill="FFFFFF" w:val="clear"/>
            <w:tcMar>
              <w:top w:type="dxa" w:w="85"/>
              <w:left w:type="dxa" w:w="120"/>
              <w:bottom w:type="dxa" w:w="85"/>
              <w:right w:type="dxa" w:w="120"/>
            </w:tcMar>
          </w:tcPr>
          <w:p>
            <w:r>
              <w:rPr>
                <w:rFonts w:ascii="Calibri" w:cs="Calibri" w:eastAsia="Calibri" w:hAnsi="Calibri"/>
                <w:b/>
                <w:bCs/>
                <w:color w:val="0B1E38"/>
                <w:sz w:val="19"/>
                <w:szCs w:val="19"/>
              </w:rPr>
              <w:t xml:space="preserve">Workshop/Training Photos</w:t>
            </w:r>
          </w:p>
        </w:tc>
        <w:tc>
          <w:tcPr>
            <w:tcW w:type="dxa" w:w="2300"/>
            <w:tcBorders>
              <w:top w:val="single" w:color="C3C8D3" w:sz="1"/>
              <w:left w:val="single" w:color="C3C8D3" w:sz="1"/>
              <w:bottom w:val="single" w:color="C3C8D3" w:sz="1"/>
              <w:right w:val="single" w:color="C3C8D3" w:sz="1"/>
            </w:tcBorders>
            <w:shd w:fill="FFFFFF" w:val="clear"/>
            <w:tcMar>
              <w:top w:type="dxa" w:w="85"/>
              <w:left w:type="dxa" w:w="120"/>
              <w:bottom w:type="dxa" w:w="85"/>
              <w:right w:type="dxa" w:w="120"/>
            </w:tcMar>
          </w:tcPr>
          <w:p>
            <w:r>
              <w:rPr>
                <w:rFonts w:ascii="Calibri" w:cs="Calibri" w:eastAsia="Calibri" w:hAnsi="Calibri"/>
                <w:b w:val="false"/>
                <w:bCs w:val="false"/>
                <w:color w:val="1E2938"/>
                <w:sz w:val="18"/>
                <w:szCs w:val="18"/>
              </w:rPr>
              <w:t xml:space="preserve">JPEG/PNG, max 5MB each, up to 20 photos</w:t>
            </w:r>
          </w:p>
        </w:tc>
        <w:tc>
          <w:tcPr>
            <w:tcW w:type="dxa" w:w="2980"/>
            <w:tcBorders>
              <w:top w:val="single" w:color="C3C8D3" w:sz="1"/>
              <w:left w:val="single" w:color="C3C8D3" w:sz="1"/>
              <w:bottom w:val="single" w:color="C3C8D3" w:sz="1"/>
              <w:right w:val="single" w:color="C3C8D3" w:sz="1"/>
            </w:tcBorders>
            <w:shd w:fill="FFFFFF" w:val="clear"/>
            <w:tcMar>
              <w:top w:type="dxa" w:w="85"/>
              <w:left w:type="dxa" w:w="120"/>
              <w:bottom w:type="dxa" w:w="85"/>
              <w:right w:type="dxa" w:w="120"/>
            </w:tcMar>
          </w:tcPr>
          <w:p>
            <w:r>
              <w:rPr>
                <w:rFonts w:ascii="Calibri" w:cs="Calibri" w:eastAsia="Calibri" w:hAnsi="Calibri"/>
                <w:b w:val="false"/>
                <w:bCs w:val="false"/>
                <w:color w:val="1E2938"/>
                <w:sz w:val="18"/>
                <w:szCs w:val="18"/>
              </w:rPr>
              <w:t xml:space="preserve">Photos from real training sessions, workshops, or visits. Student faces blurred by default unless explicit consent granted. Equipment and process photos — no consent needed.</w:t>
            </w:r>
          </w:p>
        </w:tc>
        <w:tc>
          <w:tcPr>
            <w:tcW w:type="dxa" w:w="2380"/>
            <w:tcBorders>
              <w:top w:val="single" w:color="C3C8D3" w:sz="1"/>
              <w:left w:val="single" w:color="C3C8D3" w:sz="1"/>
              <w:bottom w:val="single" w:color="C3C8D3" w:sz="1"/>
              <w:right w:val="single" w:color="C3C8D3" w:sz="1"/>
            </w:tcBorders>
            <w:shd w:fill="FFFFFF" w:val="clear"/>
            <w:tcMar>
              <w:top w:type="dxa" w:w="85"/>
              <w:left w:type="dxa" w:w="120"/>
              <w:bottom w:type="dxa" w:w="85"/>
              <w:right w:type="dxa" w:w="120"/>
            </w:tcMar>
          </w:tcPr>
          <w:p>
            <w:r>
              <w:rPr>
                <w:rFonts w:ascii="Calibri" w:cs="Calibri" w:eastAsia="Calibri" w:hAnsi="Calibri"/>
                <w:b w:val="false"/>
                <w:bCs w:val="false"/>
                <w:color w:val="1E2938"/>
                <w:sz w:val="18"/>
                <w:szCs w:val="18"/>
              </w:rPr>
              <w:t xml:space="preserve">Portfolio section, profile gallery</w:t>
            </w:r>
          </w:p>
        </w:tc>
      </w:tr>
      <w:tr>
        <w:tc>
          <w:tcPr>
            <w:tcW w:type="dxa" w:w="1700"/>
            <w:tcBorders>
              <w:top w:val="single" w:color="C3C8D3" w:sz="1"/>
              <w:left w:val="single" w:color="C3C8D3" w:sz="1"/>
              <w:bottom w:val="single" w:color="C3C8D3" w:sz="1"/>
              <w:right w:val="single" w:color="C3C8D3" w:sz="1"/>
            </w:tcBorders>
            <w:shd w:fill="F4F7FA" w:val="clear"/>
            <w:tcMar>
              <w:top w:type="dxa" w:w="85"/>
              <w:left w:type="dxa" w:w="120"/>
              <w:bottom w:type="dxa" w:w="85"/>
              <w:right w:type="dxa" w:w="120"/>
            </w:tcMar>
          </w:tcPr>
          <w:p>
            <w:r>
              <w:rPr>
                <w:rFonts w:ascii="Calibri" w:cs="Calibri" w:eastAsia="Calibri" w:hAnsi="Calibri"/>
                <w:b/>
                <w:bCs/>
                <w:color w:val="0B1E38"/>
                <w:sz w:val="19"/>
                <w:szCs w:val="19"/>
              </w:rPr>
              <w:t xml:space="preserve">Sample Training Materials</w:t>
            </w:r>
          </w:p>
        </w:tc>
        <w:tc>
          <w:tcPr>
            <w:tcW w:type="dxa" w:w="2300"/>
            <w:tcBorders>
              <w:top w:val="single" w:color="C3C8D3" w:sz="1"/>
              <w:left w:val="single" w:color="C3C8D3" w:sz="1"/>
              <w:bottom w:val="single" w:color="C3C8D3" w:sz="1"/>
              <w:right w:val="single" w:color="C3C8D3" w:sz="1"/>
            </w:tcBorders>
            <w:shd w:fill="F4F7FA" w:val="clear"/>
            <w:tcMar>
              <w:top w:type="dxa" w:w="85"/>
              <w:left w:type="dxa" w:w="120"/>
              <w:bottom w:type="dxa" w:w="85"/>
              <w:right w:type="dxa" w:w="120"/>
            </w:tcMar>
          </w:tcPr>
          <w:p>
            <w:r>
              <w:rPr>
                <w:rFonts w:ascii="Calibri" w:cs="Calibri" w:eastAsia="Calibri" w:hAnsi="Calibri"/>
                <w:b w:val="false"/>
                <w:bCs w:val="false"/>
                <w:color w:val="1E2938"/>
                <w:sz w:val="18"/>
                <w:szCs w:val="18"/>
              </w:rPr>
              <w:t xml:space="preserve">PDF, max 20MB each, up to 5 documents</w:t>
            </w:r>
          </w:p>
        </w:tc>
        <w:tc>
          <w:tcPr>
            <w:tcW w:type="dxa" w:w="2980"/>
            <w:tcBorders>
              <w:top w:val="single" w:color="C3C8D3" w:sz="1"/>
              <w:left w:val="single" w:color="C3C8D3" w:sz="1"/>
              <w:bottom w:val="single" w:color="C3C8D3" w:sz="1"/>
              <w:right w:val="single" w:color="C3C8D3" w:sz="1"/>
            </w:tcBorders>
            <w:shd w:fill="F4F7FA" w:val="clear"/>
            <w:tcMar>
              <w:top w:type="dxa" w:w="85"/>
              <w:left w:type="dxa" w:w="120"/>
              <w:bottom w:type="dxa" w:w="85"/>
              <w:right w:type="dxa" w:w="120"/>
            </w:tcMar>
          </w:tcPr>
          <w:p>
            <w:r>
              <w:rPr>
                <w:rFonts w:ascii="Calibri" w:cs="Calibri" w:eastAsia="Calibri" w:hAnsi="Calibri"/>
                <w:b w:val="false"/>
                <w:bCs w:val="false"/>
                <w:color w:val="1E2938"/>
                <w:sz w:val="18"/>
                <w:szCs w:val="18"/>
              </w:rPr>
              <w:t xml:space="preserve">Sample slide deck, workbook, or case study. Watermarked with trainer name. AI checks for plagiarism before publication.</w:t>
            </w:r>
          </w:p>
        </w:tc>
        <w:tc>
          <w:tcPr>
            <w:tcW w:type="dxa" w:w="2380"/>
            <w:tcBorders>
              <w:top w:val="single" w:color="C3C8D3" w:sz="1"/>
              <w:left w:val="single" w:color="C3C8D3" w:sz="1"/>
              <w:bottom w:val="single" w:color="C3C8D3" w:sz="1"/>
              <w:right w:val="single" w:color="C3C8D3" w:sz="1"/>
            </w:tcBorders>
            <w:shd w:fill="F4F7FA" w:val="clear"/>
            <w:tcMar>
              <w:top w:type="dxa" w:w="85"/>
              <w:left w:type="dxa" w:w="120"/>
              <w:bottom w:type="dxa" w:w="85"/>
              <w:right w:type="dxa" w:w="120"/>
            </w:tcMar>
          </w:tcPr>
          <w:p>
            <w:r>
              <w:rPr>
                <w:rFonts w:ascii="Calibri" w:cs="Calibri" w:eastAsia="Calibri" w:hAnsi="Calibri"/>
                <w:b w:val="false"/>
                <w:bCs w:val="false"/>
                <w:color w:val="1E2938"/>
                <w:sz w:val="18"/>
                <w:szCs w:val="18"/>
              </w:rPr>
              <w:t xml:space="preserve">Portfolio section, available to institutes during booking evaluation</w:t>
            </w:r>
          </w:p>
        </w:tc>
      </w:tr>
      <w:tr>
        <w:tc>
          <w:tcPr>
            <w:tcW w:type="dxa" w:w="1700"/>
            <w:tcBorders>
              <w:top w:val="single" w:color="C3C8D3" w:sz="1"/>
              <w:left w:val="single" w:color="C3C8D3" w:sz="1"/>
              <w:bottom w:val="single" w:color="C3C8D3" w:sz="1"/>
              <w:right w:val="single" w:color="C3C8D3" w:sz="1"/>
            </w:tcBorders>
            <w:shd w:fill="FFFFFF" w:val="clear"/>
            <w:tcMar>
              <w:top w:type="dxa" w:w="85"/>
              <w:left w:type="dxa" w:w="120"/>
              <w:bottom w:type="dxa" w:w="85"/>
              <w:right w:type="dxa" w:w="120"/>
            </w:tcMar>
          </w:tcPr>
          <w:p>
            <w:r>
              <w:rPr>
                <w:rFonts w:ascii="Calibri" w:cs="Calibri" w:eastAsia="Calibri" w:hAnsi="Calibri"/>
                <w:b/>
                <w:bCs/>
                <w:color w:val="0B1E38"/>
                <w:sz w:val="19"/>
                <w:szCs w:val="19"/>
              </w:rPr>
              <w:t xml:space="preserve">Knowledge Article Snapshots</w:t>
            </w:r>
          </w:p>
        </w:tc>
        <w:tc>
          <w:tcPr>
            <w:tcW w:type="dxa" w:w="2300"/>
            <w:tcBorders>
              <w:top w:val="single" w:color="C3C8D3" w:sz="1"/>
              <w:left w:val="single" w:color="C3C8D3" w:sz="1"/>
              <w:bottom w:val="single" w:color="C3C8D3" w:sz="1"/>
              <w:right w:val="single" w:color="C3C8D3" w:sz="1"/>
            </w:tcBorders>
            <w:shd w:fill="FFFFFF" w:val="clear"/>
            <w:tcMar>
              <w:top w:type="dxa" w:w="85"/>
              <w:left w:type="dxa" w:w="120"/>
              <w:bottom w:type="dxa" w:w="85"/>
              <w:right w:type="dxa" w:w="120"/>
            </w:tcMar>
          </w:tcPr>
          <w:p>
            <w:r>
              <w:rPr>
                <w:rFonts w:ascii="Calibri" w:cs="Calibri" w:eastAsia="Calibri" w:hAnsi="Calibri"/>
                <w:b w:val="false"/>
                <w:bCs w:val="false"/>
                <w:color w:val="1E2938"/>
                <w:sz w:val="18"/>
                <w:szCs w:val="18"/>
              </w:rPr>
              <w:t xml:space="preserve">Auto-generated from published Knowledge Base articles. PNG, platform-rendered.</w:t>
            </w:r>
          </w:p>
        </w:tc>
        <w:tc>
          <w:tcPr>
            <w:tcW w:type="dxa" w:w="2980"/>
            <w:tcBorders>
              <w:top w:val="single" w:color="C3C8D3" w:sz="1"/>
              <w:left w:val="single" w:color="C3C8D3" w:sz="1"/>
              <w:bottom w:val="single" w:color="C3C8D3" w:sz="1"/>
              <w:right w:val="single" w:color="C3C8D3" w:sz="1"/>
            </w:tcBorders>
            <w:shd w:fill="FFFFFF" w:val="clear"/>
            <w:tcMar>
              <w:top w:type="dxa" w:w="85"/>
              <w:left w:type="dxa" w:w="120"/>
              <w:bottom w:type="dxa" w:w="85"/>
              <w:right w:type="dxa" w:w="120"/>
            </w:tcMar>
          </w:tcPr>
          <w:p>
            <w:r>
              <w:rPr>
                <w:rFonts w:ascii="Calibri" w:cs="Calibri" w:eastAsia="Calibri" w:hAnsi="Calibri"/>
                <w:b w:val="false"/>
                <w:bCs w:val="false"/>
                <w:color w:val="1E2938"/>
                <w:sz w:val="18"/>
                <w:szCs w:val="18"/>
              </w:rPr>
              <w:t xml:space="preserve">Auto-created. Not manually uploaded.</w:t>
            </w:r>
          </w:p>
        </w:tc>
        <w:tc>
          <w:tcPr>
            <w:tcW w:type="dxa" w:w="2380"/>
            <w:tcBorders>
              <w:top w:val="single" w:color="C3C8D3" w:sz="1"/>
              <w:left w:val="single" w:color="C3C8D3" w:sz="1"/>
              <w:bottom w:val="single" w:color="C3C8D3" w:sz="1"/>
              <w:right w:val="single" w:color="C3C8D3" w:sz="1"/>
            </w:tcBorders>
            <w:shd w:fill="FFFFFF" w:val="clear"/>
            <w:tcMar>
              <w:top w:type="dxa" w:w="85"/>
              <w:left w:type="dxa" w:w="120"/>
              <w:bottom w:type="dxa" w:w="85"/>
              <w:right w:type="dxa" w:w="120"/>
            </w:tcMar>
          </w:tcPr>
          <w:p>
            <w:r>
              <w:rPr>
                <w:rFonts w:ascii="Calibri" w:cs="Calibri" w:eastAsia="Calibri" w:hAnsi="Calibri"/>
                <w:b w:val="false"/>
                <w:bCs w:val="false"/>
                <w:color w:val="1E2938"/>
                <w:sz w:val="18"/>
                <w:szCs w:val="18"/>
              </w:rPr>
              <w:t xml:space="preserve">Portfolio section</w:t>
            </w:r>
          </w:p>
        </w:tc>
      </w:tr>
    </w:tbl>
    <w:p>
      <w:pPr>
        <w:spacing w:before="100" w:after="0"/>
      </w:pPr>
      <w:r>
        <w:t xml:space="preserve"/>
      </w:r>
    </w:p>
    <w:p>
      <w:pPr>
        <w:spacing w:before="260" w:after="110"/>
      </w:pPr>
      <w:r>
        <w:rPr>
          <w:rFonts w:ascii="Calibri" w:cs="Calibri" w:eastAsia="Calibri" w:hAnsi="Calibri"/>
          <w:b/>
          <w:bCs/>
          <w:color w:val="9C5500"/>
          <w:sz w:val="31"/>
          <w:szCs w:val="31"/>
        </w:rPr>
        <w:t xml:space="preserve">9.2 Media Management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b/>
                <w:bCs/>
                <w:color w:val="9C5500"/>
                <w:sz w:val="20"/>
                <w:szCs w:val="20"/>
              </w:rPr>
              <w:t xml:space="preserve">Media Library</w:t>
            </w:r>
          </w:p>
        </w:tc>
        <w:tc>
          <w:tcPr>
            <w:tcW w:type="dxa" w:w="626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color w:val="1E2938"/>
                <w:sz w:val="20"/>
                <w:szCs w:val="20"/>
              </w:rPr>
              <w:t xml:space="preserve">All uploaded media organized in a private trainer media library. Searchable by type, date, and tag. Items can be archived (hidden from profile but retained) or deleted permanently.</w:t>
            </w:r>
          </w:p>
        </w:tc>
      </w:tr>
      <w:tr>
        <w:tc>
          <w:tcPr>
            <w:tcW w:type="dxa" w:w="310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b/>
                <w:bCs/>
                <w:color w:val="9C5500"/>
                <w:sz w:val="20"/>
                <w:szCs w:val="20"/>
              </w:rPr>
              <w:t xml:space="preserve">Media Quality Analyzer</w:t>
            </w:r>
          </w:p>
        </w:tc>
        <w:tc>
          <w:tcPr>
            <w:tcW w:type="dxa" w:w="626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color w:val="1E2938"/>
                <w:sz w:val="20"/>
                <w:szCs w:val="20"/>
              </w:rPr>
              <w:t xml:space="preserve">AI analyzes photos and videos for: resolution sufficiency, face detection confidence, background appropriateness, and audio quality (for videos). Low-quality media rejected with specific improvement guidance.</w:t>
            </w:r>
          </w:p>
        </w:tc>
      </w:tr>
      <w:tr>
        <w:tc>
          <w:tcPr>
            <w:tcW w:type="dxa" w:w="310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b/>
                <w:bCs/>
                <w:color w:val="9C5500"/>
                <w:sz w:val="20"/>
                <w:szCs w:val="20"/>
              </w:rPr>
              <w:t xml:space="preserve">Auto-Caption Generator</w:t>
            </w:r>
          </w:p>
        </w:tc>
        <w:tc>
          <w:tcPr>
            <w:tcW w:type="dxa" w:w="626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color w:val="1E2938"/>
                <w:sz w:val="20"/>
                <w:szCs w:val="20"/>
              </w:rPr>
              <w:t xml:space="preserve">For all videos: AI generates captions automatically in English. Trainer reviews and edits before publishing. Videos without captions have reduced discoverability on the platform.</w:t>
            </w:r>
          </w:p>
        </w:tc>
      </w:tr>
      <w:tr>
        <w:tc>
          <w:tcPr>
            <w:tcW w:type="dxa" w:w="310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b/>
                <w:bCs/>
                <w:color w:val="9C5500"/>
                <w:sz w:val="20"/>
                <w:szCs w:val="20"/>
              </w:rPr>
              <w:t xml:space="preserve">Student Consent Management</w:t>
            </w:r>
          </w:p>
        </w:tc>
        <w:tc>
          <w:tcPr>
            <w:tcW w:type="dxa" w:w="626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color w:val="1E2938"/>
                <w:sz w:val="20"/>
                <w:szCs w:val="20"/>
              </w:rPr>
              <w:t xml:space="preserve">For any media featuring identifiable students or colleagues: trainer must confirm consent has been obtained. Platform does not blur unless the trainer uploads a consent-less photo — in which case auto-blur is applied.</w:t>
            </w:r>
          </w:p>
        </w:tc>
      </w:tr>
      <w:tr>
        <w:tc>
          <w:tcPr>
            <w:tcW w:type="dxa" w:w="310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b/>
                <w:bCs/>
                <w:color w:val="9C5500"/>
                <w:sz w:val="20"/>
                <w:szCs w:val="20"/>
              </w:rPr>
              <w:t xml:space="preserve">Media Storage Allocation</w:t>
            </w:r>
          </w:p>
        </w:tc>
        <w:tc>
          <w:tcPr>
            <w:tcW w:type="dxa" w:w="626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color w:val="1E2938"/>
                <w:sz w:val="20"/>
                <w:szCs w:val="20"/>
              </w:rPr>
              <w:t xml:space="preserve">Free tier: 2GB media storage. Premium trainer: 20GB. Top Trainer (Platinum): unlimited. Storage used shown in the management panel.</w:t>
            </w:r>
          </w:p>
        </w:tc>
      </w:tr>
      <w:tr>
        <w:tc>
          <w:tcPr>
            <w:tcW w:type="dxa" w:w="310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b/>
                <w:bCs/>
                <w:color w:val="9C5500"/>
                <w:sz w:val="20"/>
                <w:szCs w:val="20"/>
              </w:rPr>
              <w:t xml:space="preserve">Visit Photo Auto-Collection</w:t>
            </w:r>
          </w:p>
        </w:tc>
        <w:tc>
          <w:tcPr>
            <w:tcW w:type="dxa" w:w="626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color w:val="1E2938"/>
                <w:sz w:val="20"/>
                <w:szCs w:val="20"/>
              </w:rPr>
              <w:t xml:space="preserve">After each ECOSKILLER-facilitated industrial visit: if the trainer and institute both agree, photos taken during the visit are auto-added to a visit-specific album in the trainer's media library. Trainer can select which to publish.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0B1E38" w:val="clear"/>
            <w:tcMar>
              <w:top w:type="dxa" w:w="200"/>
              <w:left w:type="dxa" w:w="100"/>
              <w:bottom w:type="dxa" w:w="200"/>
              <w:right w:type="dxa" w:w="100"/>
            </w:tcMar>
            <w:vAlign w:val="center"/>
          </w:tcPr>
          <w:p>
            <w:pPr>
              <w:jc w:val="center"/>
            </w:pPr>
            <w:r>
              <w:rPr>
                <w:rFonts w:ascii="Calibri" w:cs="Calibri" w:eastAsia="Calibri" w:hAnsi="Calibri"/>
                <w:b/>
                <w:bCs/>
                <w:color w:val="E6B000"/>
                <w:sz w:val="54"/>
                <w:szCs w:val="54"/>
              </w:rPr>
              <w:t xml:space="preserve">F10</w:t>
            </w:r>
          </w:p>
        </w:tc>
        <w:tc>
          <w:tcPr>
            <w:tcW w:type="dxa" w:w="8260"/>
            <w:tcBorders>
              <w:top w:val="none" w:color="FFFFFF" w:sz="0"/>
              <w:left w:val="none" w:color="FFFFFF" w:sz="0"/>
              <w:bottom w:val="none" w:color="FFFFFF" w:sz="0"/>
              <w:right w:val="none" w:color="FFFFFF" w:sz="0"/>
            </w:tcBorders>
            <w:shd w:fill="0B1E38" w:val="clear"/>
            <w:tcMar>
              <w:top w:type="dxa" w:w="180"/>
              <w:left w:type="dxa" w:w="220"/>
              <w:bottom w:type="dxa" w:w="180"/>
              <w:right w:type="dxa" w:w="120"/>
            </w:tcMar>
          </w:tcPr>
          <w:p>
            <w:r>
              <w:rPr>
                <w:rFonts w:ascii="Calibri" w:cs="Calibri" w:eastAsia="Calibri" w:hAnsi="Calibri"/>
                <w:b/>
                <w:bCs/>
                <w:color w:val="FFFFFF"/>
                <w:sz w:val="36"/>
                <w:szCs w:val="36"/>
              </w:rPr>
              <w:t xml:space="preserve">Profile Visibility Settings</w:t>
            </w:r>
          </w:p>
          <w:p>
            <w:pPr>
              <w:spacing w:before="30" w:after="0"/>
            </w:pPr>
            <w:r>
              <w:rPr>
                <w:rFonts w:ascii="Calibri" w:cs="Calibri" w:eastAsia="Calibri" w:hAnsi="Calibri"/>
                <w:i/>
                <w:iCs/>
                <w:color w:val="CCDAEE"/>
                <w:sz w:val="19"/>
                <w:szCs w:val="19"/>
              </w:rPr>
              <w:t xml:space="preserve">Granular control over who sees what — balancing maximum discoverability with appropriate privacy</w:t>
            </w:r>
          </w:p>
        </w:tc>
      </w:tr>
    </w:tbl>
    <w:p>
      <w:pPr>
        <w:spacing w:before="120" w:after="0"/>
      </w:pPr>
      <w:r>
        <w:t xml:space="preserve"/>
      </w:r>
    </w:p>
    <w:p>
      <w:pPr>
        <w:spacing w:before="340" w:after="150"/>
      </w:pPr>
      <w:r>
        <w:rPr>
          <w:rFonts w:ascii="Calibri" w:cs="Calibri" w:eastAsia="Calibri" w:hAnsi="Calibri"/>
          <w:b/>
          <w:bCs/>
          <w:color w:val="0B1E38"/>
          <w:sz w:val="42"/>
          <w:szCs w:val="42"/>
        </w:rPr>
        <w:t xml:space="preserve">Feature 10: Profile Visibility Settings</w:t>
      </w:r>
    </w:p>
    <w:p>
      <w:pPr>
        <w:pBdr>
          <w:bottom w:val="single" w:color="9C5500" w:sz="8"/>
        </w:pBdr>
        <w:spacing w:before="80" w:after="80"/>
      </w:pPr>
      <w:r>
        <w:t xml:space="preserve"/>
      </w:r>
    </w:p>
    <w:p>
      <w:pPr>
        <w:spacing w:before="60" w:after="60"/>
      </w:pPr>
      <w:r>
        <w:rPr>
          <w:rFonts w:ascii="Calibri" w:cs="Calibri" w:eastAsia="Calibri" w:hAnsi="Calibri"/>
          <w:b w:val="false"/>
          <w:bCs w:val="false"/>
          <w:i w:val="false"/>
          <w:iCs w:val="false"/>
          <w:color w:val="1E2938"/>
          <w:sz w:val="21"/>
          <w:szCs w:val="21"/>
        </w:rPr>
        <w:t xml:space="preserve">Profile Visibility Settings give trainers precise control over who can see which parts of their profile. This is not a simple public/private toggle — it is a 4-audience, 12-section permission matrix that allows trainers to optimize their profile for different contexts: a manufacturing trainer may want their full industrial visit record visible to all institutes but prefer to keep their corporate consulting history visible only to enterprise clients.</w:t>
      </w:r>
    </w:p>
    <w:p>
      <w:pPr>
        <w:spacing w:before="80" w:after="0"/>
      </w:pPr>
      <w:r>
        <w:t xml:space="preserve"/>
      </w:r>
    </w:p>
    <w:p>
      <w:pPr>
        <w:spacing w:before="260" w:after="110"/>
      </w:pPr>
      <w:r>
        <w:rPr>
          <w:rFonts w:ascii="Calibri" w:cs="Calibri" w:eastAsia="Calibri" w:hAnsi="Calibri"/>
          <w:b/>
          <w:bCs/>
          <w:color w:val="9C5500"/>
          <w:sz w:val="31"/>
          <w:szCs w:val="31"/>
        </w:rPr>
        <w:t xml:space="preserve">10.1 Audience Types &amp; Access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b/>
                <w:bCs/>
                <w:color w:val="0B1E38"/>
                <w:sz w:val="20"/>
                <w:szCs w:val="20"/>
              </w:rPr>
              <w:t xml:space="preserve">Public (Unauthenticated)</w:t>
            </w:r>
          </w:p>
        </w:tc>
        <w:tc>
          <w:tcPr>
            <w:tcW w:type="dxa" w:w="616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color w:val="1E2938"/>
                <w:sz w:val="20"/>
                <w:szCs w:val="20"/>
              </w:rPr>
              <w:t xml:space="preserve">Anyone who finds the profile via a public URL, QR code, or external search engine. Sees: Name, headline, primary domain badge, city, verified tier badge, aggregate rating, and a contact button. All other sections require login.</w:t>
            </w:r>
          </w:p>
        </w:tc>
      </w:tr>
      <w:tr>
        <w:tc>
          <w:tcPr>
            <w:tcW w:type="dxa" w:w="320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b/>
                <w:bCs/>
                <w:color w:val="0B1E38"/>
                <w:sz w:val="20"/>
                <w:szCs w:val="20"/>
              </w:rPr>
              <w:t xml:space="preserve">Registered Students</w:t>
            </w:r>
          </w:p>
        </w:tc>
        <w:tc>
          <w:tcPr>
            <w:tcW w:type="dxa" w:w="616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color w:val="1E2938"/>
                <w:sz w:val="20"/>
                <w:szCs w:val="20"/>
              </w:rPr>
              <w:t xml:space="preserve">Students logged into the ECOSKILLER platform. Sees all public content plus: full skills listing, certification cards, portfolio section, intro video, and a session booking link (if trainer offers student mentorship).</w:t>
            </w:r>
          </w:p>
        </w:tc>
      </w:tr>
      <w:tr>
        <w:tc>
          <w:tcPr>
            <w:tcW w:type="dxa" w:w="320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b/>
                <w:bCs/>
                <w:color w:val="0B1E38"/>
                <w:sz w:val="20"/>
                <w:szCs w:val="20"/>
              </w:rPr>
              <w:t xml:space="preserve">Verified Institutes &amp; Schools</w:t>
            </w:r>
          </w:p>
        </w:tc>
        <w:tc>
          <w:tcPr>
            <w:tcW w:type="dxa" w:w="616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color w:val="1E2938"/>
                <w:sz w:val="20"/>
                <w:szCs w:val="20"/>
              </w:rPr>
              <w:t xml:space="preserve">Institute-registered users on the platform. Sees all student content plus: full experience timeline (with verification status), industry exposure listing, certification details, sample materials, and the industrial visit booking calendar.</w:t>
            </w:r>
          </w:p>
        </w:tc>
      </w:tr>
      <w:tr>
        <w:tc>
          <w:tcPr>
            <w:tcW w:type="dxa" w:w="320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b/>
                <w:bCs/>
                <w:color w:val="0B1E38"/>
                <w:sz w:val="20"/>
                <w:szCs w:val="20"/>
              </w:rPr>
              <w:t xml:space="preserve">Registered Companies &amp; Corporates</w:t>
            </w:r>
          </w:p>
        </w:tc>
        <w:tc>
          <w:tcPr>
            <w:tcW w:type="dxa" w:w="616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color w:val="1E2938"/>
                <w:sz w:val="20"/>
                <w:szCs w:val="20"/>
              </w:rPr>
              <w:t xml:space="preserve">Company-registered users. Sees all institute content plus: consulting availability, corporate training offerings, rate card (if the trainer makes it visible), and a direct contact form bypassing the public inquiry queue.</w:t>
            </w:r>
          </w:p>
        </w:tc>
      </w:tr>
    </w:tbl>
    <w:p>
      <w:pPr>
        <w:spacing w:before="100" w:after="0"/>
      </w:pPr>
      <w:r>
        <w:t xml:space="preserve"/>
      </w:r>
    </w:p>
    <w:p>
      <w:pPr>
        <w:spacing w:before="260" w:after="110"/>
      </w:pPr>
      <w:r>
        <w:rPr>
          <w:rFonts w:ascii="Calibri" w:cs="Calibri" w:eastAsia="Calibri" w:hAnsi="Calibri"/>
          <w:b/>
          <w:bCs/>
          <w:color w:val="0B1E38"/>
          <w:sz w:val="31"/>
          <w:szCs w:val="31"/>
        </w:rPr>
        <w:t xml:space="preserve">10.2 Section-Level Visibility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3C8D3" w:sz="1"/>
              <w:left w:val="single" w:color="C3C8D3" w:sz="1"/>
              <w:bottom w:val="single" w:color="C3C8D3" w:sz="1"/>
              <w:right w:val="single" w:color="C3C8D3" w:sz="1"/>
            </w:tcBorders>
            <w:shd w:fill="0B1E38" w:val="clear"/>
            <w:tcMar>
              <w:top w:type="dxa" w:w="110"/>
              <w:left w:type="dxa" w:w="140"/>
              <w:bottom w:type="dxa" w:w="110"/>
              <w:right w:type="dxa" w:w="140"/>
            </w:tcMar>
          </w:tcPr>
          <w:p>
            <w:pPr>
              <w:jc w:val="center"/>
            </w:pPr>
            <w:r>
              <w:rPr>
                <w:rFonts w:ascii="Calibri" w:cs="Calibri" w:eastAsia="Calibri" w:hAnsi="Calibri"/>
                <w:b/>
                <w:bCs/>
                <w:color w:val="FFFFFF"/>
                <w:sz w:val="20"/>
                <w:szCs w:val="20"/>
              </w:rPr>
              <w:t xml:space="preserve">Profile Section</w:t>
            </w:r>
          </w:p>
        </w:tc>
        <w:tc>
          <w:tcPr>
            <w:tcW w:type="dxa" w:w="2600"/>
            <w:tcBorders>
              <w:top w:val="single" w:color="C3C8D3" w:sz="1"/>
              <w:left w:val="single" w:color="C3C8D3" w:sz="1"/>
              <w:bottom w:val="single" w:color="C3C8D3" w:sz="1"/>
              <w:right w:val="single" w:color="C3C8D3" w:sz="1"/>
            </w:tcBorders>
            <w:shd w:fill="0B1E38" w:val="clear"/>
            <w:tcMar>
              <w:top w:type="dxa" w:w="110"/>
              <w:left w:type="dxa" w:w="140"/>
              <w:bottom w:type="dxa" w:w="110"/>
              <w:right w:type="dxa" w:w="140"/>
            </w:tcMar>
          </w:tcPr>
          <w:p>
            <w:pPr>
              <w:jc w:val="center"/>
            </w:pPr>
            <w:r>
              <w:rPr>
                <w:rFonts w:ascii="Calibri" w:cs="Calibri" w:eastAsia="Calibri" w:hAnsi="Calibri"/>
                <w:b/>
                <w:bCs/>
                <w:color w:val="FFFFFF"/>
                <w:sz w:val="20"/>
                <w:szCs w:val="20"/>
              </w:rPr>
              <w:t xml:space="preserve">Default Visibility</w:t>
            </w:r>
          </w:p>
        </w:tc>
        <w:tc>
          <w:tcPr>
            <w:tcW w:type="dxa" w:w="4160"/>
            <w:tcBorders>
              <w:top w:val="single" w:color="C3C8D3" w:sz="1"/>
              <w:left w:val="single" w:color="C3C8D3" w:sz="1"/>
              <w:bottom w:val="single" w:color="C3C8D3" w:sz="1"/>
              <w:right w:val="single" w:color="C3C8D3" w:sz="1"/>
            </w:tcBorders>
            <w:shd w:fill="0B1E38" w:val="clear"/>
            <w:tcMar>
              <w:top w:type="dxa" w:w="110"/>
              <w:left w:type="dxa" w:w="140"/>
              <w:bottom w:type="dxa" w:w="110"/>
              <w:right w:type="dxa" w:w="140"/>
            </w:tcMar>
          </w:tcPr>
          <w:p>
            <w:pPr>
              <w:jc w:val="center"/>
            </w:pPr>
            <w:r>
              <w:rPr>
                <w:rFonts w:ascii="Calibri" w:cs="Calibri" w:eastAsia="Calibri" w:hAnsi="Calibri"/>
                <w:b/>
                <w:bCs/>
                <w:color w:val="FFFFFF"/>
                <w:sz w:val="20"/>
                <w:szCs w:val="20"/>
              </w:rPr>
              <w:t xml:space="preserve">Trainer Override Options</w:t>
            </w:r>
          </w:p>
        </w:tc>
      </w:tr>
      <w:tr>
        <w:tc>
          <w:tcPr>
            <w:tcW w:type="dxa" w:w="260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bCs/>
                <w:color w:val="0B1E38"/>
                <w:sz w:val="20"/>
                <w:szCs w:val="20"/>
              </w:rPr>
              <w:t xml:space="preserve">Name &amp; Headline</w:t>
            </w:r>
          </w:p>
        </w:tc>
        <w:tc>
          <w:tcPr>
            <w:tcW w:type="dxa" w:w="260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Public — all audiences</w:t>
            </w:r>
          </w:p>
        </w:tc>
        <w:tc>
          <w:tcPr>
            <w:tcW w:type="dxa" w:w="416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Cannot be hidden. Required for platform integrity.</w:t>
            </w:r>
          </w:p>
        </w:tc>
      </w:tr>
      <w:tr>
        <w:tc>
          <w:tcPr>
            <w:tcW w:type="dxa" w:w="260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bCs/>
                <w:color w:val="0B1E38"/>
                <w:sz w:val="20"/>
                <w:szCs w:val="20"/>
              </w:rPr>
              <w:t xml:space="preserve">Professional Tagline</w:t>
            </w:r>
          </w:p>
        </w:tc>
        <w:tc>
          <w:tcPr>
            <w:tcW w:type="dxa" w:w="260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Public — all audiences</w:t>
            </w:r>
          </w:p>
        </w:tc>
        <w:tc>
          <w:tcPr>
            <w:tcW w:type="dxa" w:w="416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Can be hidden by trainer. Shown by default.</w:t>
            </w:r>
          </w:p>
        </w:tc>
      </w:tr>
      <w:tr>
        <w:tc>
          <w:tcPr>
            <w:tcW w:type="dxa" w:w="260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bCs/>
                <w:color w:val="0B1E38"/>
                <w:sz w:val="20"/>
                <w:szCs w:val="20"/>
              </w:rPr>
              <w:t xml:space="preserve">Profile Photo</w:t>
            </w:r>
          </w:p>
        </w:tc>
        <w:tc>
          <w:tcPr>
            <w:tcW w:type="dxa" w:w="260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Public — all audiences</w:t>
            </w:r>
          </w:p>
        </w:tc>
        <w:tc>
          <w:tcPr>
            <w:tcW w:type="dxa" w:w="416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Cannot be hidden. A placeholder avatar is shown if no photo uploaded, but photo cannot be blocked from view.</w:t>
            </w:r>
          </w:p>
        </w:tc>
      </w:tr>
      <w:tr>
        <w:tc>
          <w:tcPr>
            <w:tcW w:type="dxa" w:w="260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bCs/>
                <w:color w:val="0B1E38"/>
                <w:sz w:val="20"/>
                <w:szCs w:val="20"/>
              </w:rPr>
              <w:t xml:space="preserve">City &amp; Location</w:t>
            </w:r>
          </w:p>
        </w:tc>
        <w:tc>
          <w:tcPr>
            <w:tcW w:type="dxa" w:w="260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Public — all audiences</w:t>
            </w:r>
          </w:p>
        </w:tc>
        <w:tc>
          <w:tcPr>
            <w:tcW w:type="dxa" w:w="416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Can hide specific city. "India — Maharashtra" can be shown instead of the city if privacy preferred.</w:t>
            </w:r>
          </w:p>
        </w:tc>
      </w:tr>
      <w:tr>
        <w:tc>
          <w:tcPr>
            <w:tcW w:type="dxa" w:w="260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bCs/>
                <w:color w:val="0B1E38"/>
                <w:sz w:val="20"/>
                <w:szCs w:val="20"/>
              </w:rPr>
              <w:t xml:space="preserve">Domain &amp; Sub-Domain Tags</w:t>
            </w:r>
          </w:p>
        </w:tc>
        <w:tc>
          <w:tcPr>
            <w:tcW w:type="dxa" w:w="260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Public — all audiences</w:t>
            </w:r>
          </w:p>
        </w:tc>
        <w:tc>
          <w:tcPr>
            <w:tcW w:type="dxa" w:w="416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Individual sub-domain tags can be hidden. Primary domain cannot be hidden.</w:t>
            </w:r>
          </w:p>
        </w:tc>
      </w:tr>
      <w:tr>
        <w:tc>
          <w:tcPr>
            <w:tcW w:type="dxa" w:w="260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bCs/>
                <w:color w:val="0B1E38"/>
                <w:sz w:val="20"/>
                <w:szCs w:val="20"/>
              </w:rPr>
              <w:t xml:space="preserve">Skills &amp; Tools</w:t>
            </w:r>
          </w:p>
        </w:tc>
        <w:tc>
          <w:tcPr>
            <w:tcW w:type="dxa" w:w="260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Registered users (students+)</w:t>
            </w:r>
          </w:p>
        </w:tc>
        <w:tc>
          <w:tcPr>
            <w:tcW w:type="dxa" w:w="416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Can be set to: All Users / Registered Only / Institutes Only / Corporates Only</w:t>
            </w:r>
          </w:p>
        </w:tc>
      </w:tr>
      <w:tr>
        <w:tc>
          <w:tcPr>
            <w:tcW w:type="dxa" w:w="260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bCs/>
                <w:color w:val="0B1E38"/>
                <w:sz w:val="20"/>
                <w:szCs w:val="20"/>
              </w:rPr>
              <w:t xml:space="preserve">Experience Timeline</w:t>
            </w:r>
          </w:p>
        </w:tc>
        <w:tc>
          <w:tcPr>
            <w:tcW w:type="dxa" w:w="260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Institutes &amp; Corporates by default</w:t>
            </w:r>
          </w:p>
        </w:tc>
        <w:tc>
          <w:tcPr>
            <w:tcW w:type="dxa" w:w="416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Can be set to: All Registered / Institutes Only / Corporates Only / Hidden (not recommended — reduces trust score)</w:t>
            </w:r>
          </w:p>
        </w:tc>
      </w:tr>
      <w:tr>
        <w:tc>
          <w:tcPr>
            <w:tcW w:type="dxa" w:w="260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bCs/>
                <w:color w:val="0B1E38"/>
                <w:sz w:val="20"/>
                <w:szCs w:val="20"/>
              </w:rPr>
              <w:t xml:space="preserve">Certifications</w:t>
            </w:r>
          </w:p>
        </w:tc>
        <w:tc>
          <w:tcPr>
            <w:tcW w:type="dxa" w:w="260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Registered users (students+)</w:t>
            </w:r>
          </w:p>
        </w:tc>
        <w:tc>
          <w:tcPr>
            <w:tcW w:type="dxa" w:w="416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Individual certifications can be hidden. Verification badge tier remains visible even if individual certs are hidden.</w:t>
            </w:r>
          </w:p>
        </w:tc>
      </w:tr>
      <w:tr>
        <w:tc>
          <w:tcPr>
            <w:tcW w:type="dxa" w:w="260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bCs/>
                <w:color w:val="0B1E38"/>
                <w:sz w:val="20"/>
                <w:szCs w:val="20"/>
              </w:rPr>
              <w:t xml:space="preserve">Portfolio Items</w:t>
            </w:r>
          </w:p>
        </w:tc>
        <w:tc>
          <w:tcPr>
            <w:tcW w:type="dxa" w:w="260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Registered users (students+)</w:t>
            </w:r>
          </w:p>
        </w:tc>
        <w:tc>
          <w:tcPr>
            <w:tcW w:type="dxa" w:w="416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Each portfolio item has its own visibility setting: Public / Registered / Institutes Only / Hidden</w:t>
            </w:r>
          </w:p>
        </w:tc>
      </w:tr>
      <w:tr>
        <w:tc>
          <w:tcPr>
            <w:tcW w:type="dxa" w:w="260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bCs/>
                <w:color w:val="0B1E38"/>
                <w:sz w:val="20"/>
                <w:szCs w:val="20"/>
              </w:rPr>
              <w:t xml:space="preserve">Industry Exposure Listing</w:t>
            </w:r>
          </w:p>
        </w:tc>
        <w:tc>
          <w:tcPr>
            <w:tcW w:type="dxa" w:w="260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Institutes &amp; Corporates by default</w:t>
            </w:r>
          </w:p>
        </w:tc>
        <w:tc>
          <w:tcPr>
            <w:tcW w:type="dxa" w:w="416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Can be opened to all registered users or restricted to corporates only</w:t>
            </w:r>
          </w:p>
        </w:tc>
      </w:tr>
      <w:tr>
        <w:tc>
          <w:tcPr>
            <w:tcW w:type="dxa" w:w="260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bCs/>
                <w:color w:val="0B1E38"/>
                <w:sz w:val="20"/>
                <w:szCs w:val="20"/>
              </w:rPr>
              <w:t xml:space="preserve">Personal Bio</w:t>
            </w:r>
          </w:p>
        </w:tc>
        <w:tc>
          <w:tcPr>
            <w:tcW w:type="dxa" w:w="260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Public — all audiences</w:t>
            </w:r>
          </w:p>
        </w:tc>
        <w:tc>
          <w:tcPr>
            <w:tcW w:type="dxa" w:w="416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Can be toggled off entirely but reduces profile quality score significantly</w:t>
            </w:r>
          </w:p>
        </w:tc>
      </w:tr>
      <w:tr>
        <w:tc>
          <w:tcPr>
            <w:tcW w:type="dxa" w:w="260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bCs/>
                <w:color w:val="0B1E38"/>
                <w:sz w:val="20"/>
                <w:szCs w:val="20"/>
              </w:rPr>
              <w:t xml:space="preserve">Contact &amp; Booking</w:t>
            </w:r>
          </w:p>
        </w:tc>
        <w:tc>
          <w:tcPr>
            <w:tcW w:type="dxa" w:w="260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Registered users with verified intent</w:t>
            </w:r>
          </w:p>
        </w:tc>
        <w:tc>
          <w:tcPr>
            <w:tcW w:type="dxa" w:w="416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Can restrict to: Only Institutes / Only Corporates / All Registered / None (profile stays discoverable but no direct contact)</w:t>
            </w:r>
          </w:p>
        </w:tc>
      </w:tr>
    </w:tbl>
    <w:p>
      <w:pPr>
        <w:spacing w:before="100" w:after="0"/>
      </w:pPr>
      <w:r>
        <w:t xml:space="preserve"/>
      </w:r>
    </w:p>
    <w:p>
      <w:pPr>
        <w:spacing w:before="260" w:after="110"/>
      </w:pPr>
      <w:r>
        <w:rPr>
          <w:rFonts w:ascii="Calibri" w:cs="Calibri" w:eastAsia="Calibri" w:hAnsi="Calibri"/>
          <w:b/>
          <w:bCs/>
          <w:color w:val="0B1E38"/>
          <w:sz w:val="31"/>
          <w:szCs w:val="31"/>
        </w:rPr>
        <w:t xml:space="preserve">10.3 Search Discoverability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b/>
                <w:bCs/>
                <w:color w:val="0B1E38"/>
                <w:sz w:val="20"/>
                <w:szCs w:val="20"/>
              </w:rPr>
              <w:t xml:space="preserve">Marketplace Listing Toggle</w:t>
            </w:r>
          </w:p>
        </w:tc>
        <w:tc>
          <w:tcPr>
            <w:tcW w:type="dxa" w:w="626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color w:val="1E2938"/>
                <w:sz w:val="20"/>
                <w:szCs w:val="20"/>
              </w:rPr>
              <w:t xml:space="preserve">Master on/off switch for marketplace visibility. "Off" means the trainer cannot receive new booking inquiries. Existing bookings unaffected. Useful for trainers on sabbatical or at capacity.</w:t>
            </w:r>
          </w:p>
        </w:tc>
      </w:tr>
      <w:tr>
        <w:tc>
          <w:tcPr>
            <w:tcW w:type="dxa" w:w="310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b/>
                <w:bCs/>
                <w:color w:val="0B1E38"/>
                <w:sz w:val="20"/>
                <w:szCs w:val="20"/>
              </w:rPr>
              <w:t xml:space="preserve">Search Index Inclusion</w:t>
            </w:r>
          </w:p>
        </w:tc>
        <w:tc>
          <w:tcPr>
            <w:tcW w:type="dxa" w:w="626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color w:val="1E2938"/>
                <w:sz w:val="20"/>
                <w:szCs w:val="20"/>
              </w:rPr>
              <w:t xml:space="preserve">Trainer can choose to be excluded from: (1) external search engines (Google, Bing), (2) public trainer directory, while remaining visible to logged-in institute users. Useful for trainers who prefer referral-only discovery.</w:t>
            </w:r>
          </w:p>
        </w:tc>
      </w:tr>
      <w:tr>
        <w:tc>
          <w:tcPr>
            <w:tcW w:type="dxa" w:w="310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b/>
                <w:bCs/>
                <w:color w:val="0B1E38"/>
                <w:sz w:val="20"/>
                <w:szCs w:val="20"/>
              </w:rPr>
              <w:t xml:space="preserve">Featured Trainer Opt-In</w:t>
            </w:r>
          </w:p>
        </w:tc>
        <w:tc>
          <w:tcPr>
            <w:tcW w:type="dxa" w:w="626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color w:val="1E2938"/>
                <w:sz w:val="20"/>
                <w:szCs w:val="20"/>
              </w:rPr>
              <w:t xml:space="preserve">Trainers with Profile Quality Score 85+ are eligible for "Featured Trainer" placement. This is opt-in: trainers choose whether to be featured in institute dashboard recommendations and platform newsletters.</w:t>
            </w:r>
          </w:p>
        </w:tc>
      </w:tr>
      <w:tr>
        <w:tc>
          <w:tcPr>
            <w:tcW w:type="dxa" w:w="310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b/>
                <w:bCs/>
                <w:color w:val="0B1E38"/>
                <w:sz w:val="20"/>
                <w:szCs w:val="20"/>
              </w:rPr>
              <w:t xml:space="preserve">Domain Search Visibility</w:t>
            </w:r>
          </w:p>
        </w:tc>
        <w:tc>
          <w:tcPr>
            <w:tcW w:type="dxa" w:w="626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color w:val="1E2938"/>
                <w:sz w:val="20"/>
                <w:szCs w:val="20"/>
              </w:rPr>
              <w:t xml:space="preserve">Trainer can suppress visibility in specific domain searches. Example: a trainer with both IT and Finance expertise who only wants to appear in Finance searches can suppress the IT domain search visibility.</w:t>
            </w:r>
          </w:p>
        </w:tc>
      </w:tr>
      <w:tr>
        <w:tc>
          <w:tcPr>
            <w:tcW w:type="dxa" w:w="310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b/>
                <w:bCs/>
                <w:color w:val="0B1E38"/>
                <w:sz w:val="20"/>
                <w:szCs w:val="20"/>
              </w:rPr>
              <w:t xml:space="preserve">Geographic Visibility</w:t>
            </w:r>
          </w:p>
        </w:tc>
        <w:tc>
          <w:tcPr>
            <w:tcW w:type="dxa" w:w="626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color w:val="1E2938"/>
                <w:sz w:val="20"/>
                <w:szCs w:val="20"/>
              </w:rPr>
              <w:t xml:space="preserve">Trainer can restrict booking inquiries to specific states, regions, or countries. Visibility in search results is filtered accordingly. Trainers available nationally or internationally can mark accordingly.</w:t>
            </w:r>
          </w:p>
        </w:tc>
      </w:tr>
      <w:tr>
        <w:tc>
          <w:tcPr>
            <w:tcW w:type="dxa" w:w="310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b/>
                <w:bCs/>
                <w:color w:val="0B1E38"/>
                <w:sz w:val="20"/>
                <w:szCs w:val="20"/>
              </w:rPr>
              <w:t xml:space="preserve">Competitor Platform Non-Index Tag</w:t>
            </w:r>
          </w:p>
        </w:tc>
        <w:tc>
          <w:tcPr>
            <w:tcW w:type="dxa" w:w="626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color w:val="1E2938"/>
                <w:sz w:val="20"/>
                <w:szCs w:val="20"/>
              </w:rPr>
              <w:t xml:space="preserve">Trainers who have had their profiles scraped by competitor platforms can request a "No-Index" tag that instructs search engines not to index the profile URL. ECOSKILLER uses structured data (schema.org) that respects this tag.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0C5B70" w:val="clear"/>
            <w:tcMar>
              <w:top w:type="dxa" w:w="200"/>
              <w:left w:type="dxa" w:w="100"/>
              <w:bottom w:type="dxa" w:w="200"/>
              <w:right w:type="dxa" w:w="100"/>
            </w:tcMar>
            <w:vAlign w:val="center"/>
          </w:tcPr>
          <w:p>
            <w:pPr>
              <w:jc w:val="center"/>
            </w:pPr>
            <w:r>
              <w:rPr>
                <w:rFonts w:ascii="Calibri" w:cs="Calibri" w:eastAsia="Calibri" w:hAnsi="Calibri"/>
                <w:b/>
                <w:bCs/>
                <w:color w:val="E6B000"/>
                <w:sz w:val="54"/>
                <w:szCs w:val="54"/>
              </w:rPr>
              <w:t xml:space="preserve">F11</w:t>
            </w:r>
          </w:p>
        </w:tc>
        <w:tc>
          <w:tcPr>
            <w:tcW w:type="dxa" w:w="8260"/>
            <w:tcBorders>
              <w:top w:val="none" w:color="FFFFFF" w:sz="0"/>
              <w:left w:val="none" w:color="FFFFFF" w:sz="0"/>
              <w:bottom w:val="none" w:color="FFFFFF" w:sz="0"/>
              <w:right w:val="none" w:color="FFFFFF" w:sz="0"/>
            </w:tcBorders>
            <w:shd w:fill="0C5B70" w:val="clear"/>
            <w:tcMar>
              <w:top w:type="dxa" w:w="180"/>
              <w:left w:type="dxa" w:w="220"/>
              <w:bottom w:type="dxa" w:w="180"/>
              <w:right w:type="dxa" w:w="120"/>
            </w:tcMar>
          </w:tcPr>
          <w:p>
            <w:r>
              <w:rPr>
                <w:rFonts w:ascii="Calibri" w:cs="Calibri" w:eastAsia="Calibri" w:hAnsi="Calibri"/>
                <w:b/>
                <w:bCs/>
                <w:color w:val="FFFFFF"/>
                <w:sz w:val="36"/>
                <w:szCs w:val="36"/>
              </w:rPr>
              <w:t xml:space="preserve">Availability Calendar</w:t>
            </w:r>
          </w:p>
          <w:p>
            <w:pPr>
              <w:spacing w:before="30" w:after="0"/>
            </w:pPr>
            <w:r>
              <w:rPr>
                <w:rFonts w:ascii="Calibri" w:cs="Calibri" w:eastAsia="Calibri" w:hAnsi="Calibri"/>
                <w:i/>
                <w:iCs/>
                <w:color w:val="CCDAEE"/>
                <w:sz w:val="19"/>
                <w:szCs w:val="19"/>
              </w:rPr>
              <w:t xml:space="preserve">Real-time scheduling intelligence that eliminates the back-and-forth between institutes and trainers during booking</w:t>
            </w:r>
          </w:p>
        </w:tc>
      </w:tr>
    </w:tbl>
    <w:p>
      <w:pPr>
        <w:spacing w:before="120" w:after="0"/>
      </w:pPr>
      <w:r>
        <w:t xml:space="preserve"/>
      </w:r>
    </w:p>
    <w:p>
      <w:pPr>
        <w:spacing w:before="340" w:after="150"/>
      </w:pPr>
      <w:r>
        <w:rPr>
          <w:rFonts w:ascii="Calibri" w:cs="Calibri" w:eastAsia="Calibri" w:hAnsi="Calibri"/>
          <w:b/>
          <w:bCs/>
          <w:color w:val="0C5B70"/>
          <w:sz w:val="42"/>
          <w:szCs w:val="42"/>
        </w:rPr>
        <w:t xml:space="preserve">Feature 11: Availability Calendar</w:t>
      </w:r>
    </w:p>
    <w:p>
      <w:pPr>
        <w:pBdr>
          <w:bottom w:val="single" w:color="0C5B70" w:sz="8"/>
        </w:pBdr>
        <w:spacing w:before="80" w:after="80"/>
      </w:pPr>
      <w:r>
        <w:t xml:space="preserve"/>
      </w:r>
    </w:p>
    <w:p>
      <w:pPr>
        <w:spacing w:before="60" w:after="60"/>
      </w:pPr>
      <w:r>
        <w:rPr>
          <w:rFonts w:ascii="Calibri" w:cs="Calibri" w:eastAsia="Calibri" w:hAnsi="Calibri"/>
          <w:b w:val="false"/>
          <w:bCs w:val="false"/>
          <w:i w:val="false"/>
          <w:iCs w:val="false"/>
          <w:color w:val="1E2938"/>
          <w:sz w:val="21"/>
          <w:szCs w:val="21"/>
        </w:rPr>
        <w:t xml:space="preserve">The Availability Calendar is one of the most operationally critical features of the trainer profile. Without it, every industrial visit booking involves a cascade of WhatsApp messages, missed calls, and reschedulings that erode trust on both sides. The ECOSKILLER Availability Calendar is a real-time, synchronized, rule-based scheduling system that lets institutes see exactly when a trainer is available, book a slot instantly or send an inquiry for a specific date, and receive automated confirmation without any manual back-and-forth.</w:t>
      </w:r>
    </w:p>
    <w:p>
      <w:pPr>
        <w:spacing w:before="80" w:after="0"/>
      </w:pPr>
      <w:r>
        <w:t xml:space="preserve"/>
      </w:r>
    </w:p>
    <w:p>
      <w:pPr>
        <w:spacing w:before="260" w:after="110"/>
      </w:pPr>
      <w:r>
        <w:rPr>
          <w:rFonts w:ascii="Calibri" w:cs="Calibri" w:eastAsia="Calibri" w:hAnsi="Calibri"/>
          <w:b/>
          <w:bCs/>
          <w:color w:val="9C5500"/>
          <w:sz w:val="31"/>
          <w:szCs w:val="31"/>
        </w:rPr>
        <w:t xml:space="preserve">11.1 Availability Calendar Fields &amp;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3C8D3" w:sz="1"/>
              <w:left w:val="single" w:color="C3C8D3" w:sz="1"/>
              <w:bottom w:val="single" w:color="C3C8D3" w:sz="1"/>
              <w:right w:val="single" w:color="C3C8D3" w:sz="1"/>
            </w:tcBorders>
            <w:shd w:fill="0C5B70" w:val="clear"/>
            <w:tcMar>
              <w:top w:type="dxa" w:w="110"/>
              <w:left w:type="dxa" w:w="140"/>
              <w:bottom w:type="dxa" w:w="110"/>
              <w:right w:type="dxa" w:w="140"/>
            </w:tcMar>
          </w:tcPr>
          <w:p>
            <w:pPr>
              <w:jc w:val="center"/>
            </w:pPr>
            <w:r>
              <w:rPr>
                <w:rFonts w:ascii="Calibri" w:cs="Calibri" w:eastAsia="Calibri" w:hAnsi="Calibri"/>
                <w:b/>
                <w:bCs/>
                <w:color w:val="FFFFFF"/>
                <w:sz w:val="19"/>
                <w:szCs w:val="19"/>
              </w:rPr>
              <w:t xml:space="preserve">Field / Element</w:t>
            </w:r>
          </w:p>
        </w:tc>
        <w:tc>
          <w:tcPr>
            <w:tcW w:type="dxa" w:w="2600"/>
            <w:tcBorders>
              <w:top w:val="single" w:color="C3C8D3" w:sz="1"/>
              <w:left w:val="single" w:color="C3C8D3" w:sz="1"/>
              <w:bottom w:val="single" w:color="C3C8D3" w:sz="1"/>
              <w:right w:val="single" w:color="C3C8D3" w:sz="1"/>
            </w:tcBorders>
            <w:shd w:fill="0C5B70" w:val="clear"/>
            <w:tcMar>
              <w:top w:type="dxa" w:w="110"/>
              <w:left w:type="dxa" w:w="140"/>
              <w:bottom w:type="dxa" w:w="110"/>
              <w:right w:type="dxa" w:w="140"/>
            </w:tcMar>
          </w:tcPr>
          <w:p>
            <w:pPr>
              <w:jc w:val="center"/>
            </w:pPr>
            <w:r>
              <w:rPr>
                <w:rFonts w:ascii="Calibri" w:cs="Calibri" w:eastAsia="Calibri" w:hAnsi="Calibri"/>
                <w:b/>
                <w:bCs/>
                <w:color w:val="FFFFFF"/>
                <w:sz w:val="19"/>
                <w:szCs w:val="19"/>
              </w:rPr>
              <w:t xml:space="preserve">Data Type &amp; Constraints</w:t>
            </w:r>
          </w:p>
        </w:tc>
        <w:tc>
          <w:tcPr>
            <w:tcW w:type="dxa" w:w="4560"/>
            <w:tcBorders>
              <w:top w:val="single" w:color="C3C8D3" w:sz="1"/>
              <w:left w:val="single" w:color="C3C8D3" w:sz="1"/>
              <w:bottom w:val="single" w:color="C3C8D3" w:sz="1"/>
              <w:right w:val="single" w:color="C3C8D3" w:sz="1"/>
            </w:tcBorders>
            <w:shd w:fill="0C5B70" w:val="clear"/>
            <w:tcMar>
              <w:top w:type="dxa" w:w="110"/>
              <w:left w:type="dxa" w:w="140"/>
              <w:bottom w:type="dxa" w:w="110"/>
              <w:right w:type="dxa" w:w="140"/>
            </w:tcMar>
          </w:tcPr>
          <w:p>
            <w:pPr>
              <w:jc w:val="center"/>
            </w:pPr>
            <w:r>
              <w:rPr>
                <w:rFonts w:ascii="Calibri" w:cs="Calibri" w:eastAsia="Calibri" w:hAnsi="Calibri"/>
                <w:b/>
                <w:bCs/>
                <w:color w:val="FFFFFF"/>
                <w:sz w:val="19"/>
                <w:szCs w:val="19"/>
              </w:rPr>
              <w:t xml:space="preserve">Purpose &amp; Business Logic</w:t>
            </w:r>
          </w:p>
        </w:tc>
      </w:tr>
      <w:tr>
        <w:tc>
          <w:tcPr>
            <w:tcW w:type="dxa" w:w="22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bCs/>
                <w:color w:val="0B1E38"/>
                <w:sz w:val="19"/>
                <w:szCs w:val="19"/>
              </w:rPr>
              <w:t xml:space="preserve">Working Days</w:t>
            </w:r>
          </w:p>
        </w:tc>
        <w:tc>
          <w:tcPr>
            <w:tcW w:type="dxa" w:w="26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Multi-select: Monday through Sunday. Trainer marks which days of the week they are available for bookings. Default: Monday–Friday. Override for specific weeks possible.</w:t>
            </w:r>
          </w:p>
        </w:tc>
        <w:tc>
          <w:tcPr>
            <w:tcW w:type="dxa" w:w="456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Base availability grid. Institutes only see day-slots that the trainer has marked as working days.</w:t>
            </w:r>
          </w:p>
        </w:tc>
      </w:tr>
      <w:tr>
        <w:tc>
          <w:tcPr>
            <w:tcW w:type="dxa" w:w="22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bCs/>
                <w:color w:val="0B1E38"/>
                <w:sz w:val="19"/>
                <w:szCs w:val="19"/>
              </w:rPr>
              <w:t xml:space="preserve">Working Hours</w:t>
            </w:r>
          </w:p>
        </w:tc>
        <w:tc>
          <w:tcPr>
            <w:tcW w:type="dxa" w:w="26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Start time – End time per day. Can be different per day (e.g., Mon–Thu: 8AM–6PM, Fri: 8AM–2PM, Sat: 10AM–1PM). Time zone: set from registration location, adjustable.</w:t>
            </w:r>
          </w:p>
        </w:tc>
        <w:tc>
          <w:tcPr>
            <w:tcW w:type="dxa" w:w="456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Defines within-day booking windows. Institutes see time slots as 2-hour or half-day blocks within working hours.</w:t>
            </w:r>
          </w:p>
        </w:tc>
      </w:tr>
      <w:tr>
        <w:tc>
          <w:tcPr>
            <w:tcW w:type="dxa" w:w="22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bCs/>
                <w:color w:val="0B1E38"/>
                <w:sz w:val="19"/>
                <w:szCs w:val="19"/>
              </w:rPr>
              <w:t xml:space="preserve">Visit Duration Options</w:t>
            </w:r>
          </w:p>
        </w:tc>
        <w:tc>
          <w:tcPr>
            <w:tcW w:type="dxa" w:w="26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Trainer selects which visit durations they offer: Half-Day (3 hours), Full-Day (6 hours), Extended (8+ hours), Multi-Day (2+ days). Each duration can have a different notice period requirement.</w:t>
            </w:r>
          </w:p>
        </w:tc>
        <w:tc>
          <w:tcPr>
            <w:tcW w:type="dxa" w:w="456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Institutes filter trainers by available visit duration. A trainer who only offers full-day visits will not appear in half-day visit searches.</w:t>
            </w:r>
          </w:p>
        </w:tc>
      </w:tr>
      <w:tr>
        <w:tc>
          <w:tcPr>
            <w:tcW w:type="dxa" w:w="22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bCs/>
                <w:color w:val="0B1E38"/>
                <w:sz w:val="19"/>
                <w:szCs w:val="19"/>
              </w:rPr>
              <w:t xml:space="preserve">Advance Booking Notice</w:t>
            </w:r>
          </w:p>
        </w:tc>
        <w:tc>
          <w:tcPr>
            <w:tcW w:type="dxa" w:w="26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Minimum number of days before a visit the trainer requires for booking. Configurable per duration type. Example: Half-Day = 5 days minimum; Multi-Day = 21 days minimum.</w:t>
            </w:r>
          </w:p>
        </w:tc>
        <w:tc>
          <w:tcPr>
            <w:tcW w:type="dxa" w:w="456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Prevents last-minute bookings that trainers cannot prepare for. Institutes see a clear "earliest available" date when browsing.</w:t>
            </w:r>
          </w:p>
        </w:tc>
      </w:tr>
      <w:tr>
        <w:tc>
          <w:tcPr>
            <w:tcW w:type="dxa" w:w="22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bCs/>
                <w:color w:val="0B1E38"/>
                <w:sz w:val="19"/>
                <w:szCs w:val="19"/>
              </w:rPr>
              <w:t xml:space="preserve">Maximum Bookings Per Week</w:t>
            </w:r>
          </w:p>
        </w:tc>
        <w:tc>
          <w:tcPr>
            <w:tcW w:type="dxa" w:w="26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Trainer sets a cap: e.g., "Maximum 3 industrial visits per week." System enforces this automatically once the cap is reached for a given week.</w:t>
            </w:r>
          </w:p>
        </w:tc>
        <w:tc>
          <w:tcPr>
            <w:tcW w:type="dxa" w:w="456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Prevents over-commitment. Protects trainer quality of delivery. Institutes see "No availability this week" rather than a vague non-response.</w:t>
            </w:r>
          </w:p>
        </w:tc>
      </w:tr>
      <w:tr>
        <w:tc>
          <w:tcPr>
            <w:tcW w:type="dxa" w:w="22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bCs/>
                <w:color w:val="0B1E38"/>
                <w:sz w:val="19"/>
                <w:szCs w:val="19"/>
              </w:rPr>
              <w:t xml:space="preserve">Blocked Dates</w:t>
            </w:r>
          </w:p>
        </w:tc>
        <w:tc>
          <w:tcPr>
            <w:tcW w:type="dxa" w:w="26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Calendar where trainer marks specific dates as unavailable: personal leave, travel, other commitments. Can mark single days, date ranges, or recurring blocks (e.g., every second Friday).</w:t>
            </w:r>
          </w:p>
        </w:tc>
        <w:tc>
          <w:tcPr>
            <w:tcW w:type="dxa" w:w="456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Blocked dates are removed from the visible availability grid. Institutes cannot request bookings on blocked dates.</w:t>
            </w:r>
          </w:p>
        </w:tc>
      </w:tr>
      <w:tr>
        <w:tc>
          <w:tcPr>
            <w:tcW w:type="dxa" w:w="22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bCs/>
                <w:color w:val="0B1E38"/>
                <w:sz w:val="19"/>
                <w:szCs w:val="19"/>
              </w:rPr>
              <w:t xml:space="preserve">Travel Days</w:t>
            </w:r>
          </w:p>
        </w:tc>
        <w:tc>
          <w:tcPr>
            <w:tcW w:type="dxa" w:w="26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Trainer marks days they are in transit between cities or countries as "Travel Day" — available for remote/virtual sessions but not in-person visits.</w:t>
            </w:r>
          </w:p>
        </w:tc>
        <w:tc>
          <w:tcPr>
            <w:tcW w:type="dxa" w:w="456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Institutes searching for in-person visits skip travel days automatically. Virtual session bookings still shown as available.</w:t>
            </w:r>
          </w:p>
        </w:tc>
      </w:tr>
      <w:tr>
        <w:tc>
          <w:tcPr>
            <w:tcW w:type="dxa" w:w="22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bCs/>
                <w:color w:val="0B1E38"/>
                <w:sz w:val="19"/>
                <w:szCs w:val="19"/>
              </w:rPr>
              <w:t xml:space="preserve">Buffer Between Bookings</w:t>
            </w:r>
          </w:p>
        </w:tc>
        <w:tc>
          <w:tcPr>
            <w:tcW w:type="dxa" w:w="26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Trainer sets a minimum buffer between consecutive visits: e.g., "At least 1 day between any two in-person visits." System enforces this and does not allow back-to-back bookings without the buffer.</w:t>
            </w:r>
          </w:p>
        </w:tc>
        <w:tc>
          <w:tcPr>
            <w:tcW w:type="dxa" w:w="456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Ensures trainer has preparation time between visits. Critical for quality delivery.</w:t>
            </w:r>
          </w:p>
        </w:tc>
      </w:tr>
      <w:tr>
        <w:tc>
          <w:tcPr>
            <w:tcW w:type="dxa" w:w="22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bCs/>
                <w:color w:val="0B1E38"/>
                <w:sz w:val="19"/>
                <w:szCs w:val="19"/>
              </w:rPr>
              <w:t xml:space="preserve">Geographic Availability Windows</w:t>
            </w:r>
          </w:p>
        </w:tc>
        <w:tc>
          <w:tcPr>
            <w:tcW w:type="dxa" w:w="26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For trainers willing to travel: they can specify windows when they are available in specific cities or regions. Example: "Available in Chennai the last week of every month."</w:t>
            </w:r>
          </w:p>
        </w:tc>
        <w:tc>
          <w:tcPr>
            <w:tcW w:type="dxa" w:w="456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Geo-specific availability enables institutes in non-home-city locations to see the trainer as available when they plan to be local.</w:t>
            </w:r>
          </w:p>
        </w:tc>
      </w:tr>
      <w:tr>
        <w:tc>
          <w:tcPr>
            <w:tcW w:type="dxa" w:w="22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bCs/>
                <w:color w:val="0B1E38"/>
                <w:sz w:val="19"/>
                <w:szCs w:val="19"/>
              </w:rPr>
              <w:t xml:space="preserve">Virtual / Hybrid Availability</w:t>
            </w:r>
          </w:p>
        </w:tc>
        <w:tc>
          <w:tcPr>
            <w:tcW w:type="dxa" w:w="26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Separate toggle for virtual (video call) session availability. Can be different from in-person availability. Many trainers are available more days for virtual than in-person.</w:t>
            </w:r>
          </w:p>
        </w:tc>
        <w:tc>
          <w:tcPr>
            <w:tcW w:type="dxa" w:w="456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Expands trainer reach to institutes in geographies they cannot physically visit. Virtual sessions booked via integrated video conferencing.</w:t>
            </w:r>
          </w:p>
        </w:tc>
      </w:tr>
    </w:tbl>
    <w:p>
      <w:pPr>
        <w:spacing w:before="100" w:after="0"/>
      </w:pPr>
      <w:r>
        <w:t xml:space="preserve"/>
      </w:r>
    </w:p>
    <w:p>
      <w:pPr>
        <w:spacing w:before="260" w:after="110"/>
      </w:pPr>
      <w:r>
        <w:rPr>
          <w:rFonts w:ascii="Calibri" w:cs="Calibri" w:eastAsia="Calibri" w:hAnsi="Calibri"/>
          <w:b/>
          <w:bCs/>
          <w:color w:val="0C5B70"/>
          <w:sz w:val="31"/>
          <w:szCs w:val="31"/>
        </w:rPr>
        <w:t xml:space="preserve">11.2 Booking Flow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b/>
                <w:bCs/>
                <w:color w:val="0C5B70"/>
                <w:sz w:val="20"/>
                <w:szCs w:val="20"/>
              </w:rPr>
              <w:t xml:space="preserve">Real-Time Slot Display</w:t>
            </w:r>
          </w:p>
        </w:tc>
        <w:tc>
          <w:tcPr>
            <w:tcW w:type="dxa" w:w="626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color w:val="1E2938"/>
                <w:sz w:val="20"/>
                <w:szCs w:val="20"/>
              </w:rPr>
              <w:t xml:space="preserve">Institutes browsing a trainer's profile see a live availability calendar: green dates = available, grey = blocked, amber = pending (another institute has inquired but not confirmed). Updated in real time.</w:t>
            </w:r>
          </w:p>
        </w:tc>
      </w:tr>
      <w:tr>
        <w:tc>
          <w:tcPr>
            <w:tcW w:type="dxa" w:w="310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b/>
                <w:bCs/>
                <w:color w:val="0C5B70"/>
                <w:sz w:val="20"/>
                <w:szCs w:val="20"/>
              </w:rPr>
              <w:t xml:space="preserve">Instant Booking vs. Inquiry Booking</w:t>
            </w:r>
          </w:p>
        </w:tc>
        <w:tc>
          <w:tcPr>
            <w:tcW w:type="dxa" w:w="626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color w:val="1E2938"/>
                <w:sz w:val="20"/>
                <w:szCs w:val="20"/>
              </w:rPr>
              <w:t xml:space="preserve">Trainer can configure each slot type: Instant Book (institute confirms immediately, trainer auto-confirmed) or Inquiry Only (institute requests, trainer reviews and confirms within 24 hours).</w:t>
            </w:r>
          </w:p>
        </w:tc>
      </w:tr>
      <w:tr>
        <w:tc>
          <w:tcPr>
            <w:tcW w:type="dxa" w:w="310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b/>
                <w:bCs/>
                <w:color w:val="0C5B70"/>
                <w:sz w:val="20"/>
                <w:szCs w:val="20"/>
              </w:rPr>
              <w:t xml:space="preserve">Booking Hold &amp; Expiry</w:t>
            </w:r>
          </w:p>
        </w:tc>
        <w:tc>
          <w:tcPr>
            <w:tcW w:type="dxa" w:w="626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color w:val="1E2938"/>
                <w:sz w:val="20"/>
                <w:szCs w:val="20"/>
              </w:rPr>
              <w:t xml:space="preserve">When an institute initiates a booking inquiry for a specific date, that date is placed on a 48-hour hold. If the trainer does not respond within 48 hours, the hold auto-releases and the date is available again.</w:t>
            </w:r>
          </w:p>
        </w:tc>
      </w:tr>
      <w:tr>
        <w:tc>
          <w:tcPr>
            <w:tcW w:type="dxa" w:w="310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b/>
                <w:bCs/>
                <w:color w:val="0C5B70"/>
                <w:sz w:val="20"/>
                <w:szCs w:val="20"/>
              </w:rPr>
              <w:t xml:space="preserve">Calendar Sync</w:t>
            </w:r>
          </w:p>
        </w:tc>
        <w:tc>
          <w:tcPr>
            <w:tcW w:type="dxa" w:w="626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color w:val="1E2938"/>
                <w:sz w:val="20"/>
                <w:szCs w:val="20"/>
              </w:rPr>
              <w:t xml:space="preserve">Two-way sync with Google Calendar, Apple iCal, and Outlook Calendar via OAuth. Bookings appear instantly in the trainer's personal calendar. External calendar blocks automatically update the platform availability.</w:t>
            </w:r>
          </w:p>
        </w:tc>
      </w:tr>
      <w:tr>
        <w:tc>
          <w:tcPr>
            <w:tcW w:type="dxa" w:w="310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b/>
                <w:bCs/>
                <w:color w:val="0C5B70"/>
                <w:sz w:val="20"/>
                <w:szCs w:val="20"/>
              </w:rPr>
              <w:t xml:space="preserve">Automated Reminders</w:t>
            </w:r>
          </w:p>
        </w:tc>
        <w:tc>
          <w:tcPr>
            <w:tcW w:type="dxa" w:w="626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color w:val="1E2938"/>
                <w:sz w:val="20"/>
                <w:szCs w:val="20"/>
              </w:rPr>
              <w:t xml:space="preserve">Pre-visit reminders sent to both trainer and institute: 7 days before (confirmation), 3 days before (preparation check), 1 day before (logistics confirmation). All automated, no manual follow-up needed.</w:t>
            </w:r>
          </w:p>
        </w:tc>
      </w:tr>
      <w:tr>
        <w:tc>
          <w:tcPr>
            <w:tcW w:type="dxa" w:w="310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b/>
                <w:bCs/>
                <w:color w:val="0C5B70"/>
                <w:sz w:val="20"/>
                <w:szCs w:val="20"/>
              </w:rPr>
              <w:t xml:space="preserve">Cancellation &amp; Rescheduling Policy</w:t>
            </w:r>
          </w:p>
        </w:tc>
        <w:tc>
          <w:tcPr>
            <w:tcW w:type="dxa" w:w="626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color w:val="1E2938"/>
                <w:sz w:val="20"/>
                <w:szCs w:val="20"/>
              </w:rPr>
              <w:t xml:space="preserve">Trainer sets their policy: Free cancellation window (e.g., 7 days), reschedule fee, late cancellation penalty. Displayed to institutes before booking. Platform enforces policy automatically.</w:t>
            </w:r>
          </w:p>
        </w:tc>
      </w:tr>
      <w:tr>
        <w:tc>
          <w:tcPr>
            <w:tcW w:type="dxa" w:w="310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b/>
                <w:bCs/>
                <w:color w:val="0C5B70"/>
                <w:sz w:val="20"/>
                <w:szCs w:val="20"/>
              </w:rPr>
              <w:t xml:space="preserve">Recurring Visit Series</w:t>
            </w:r>
          </w:p>
        </w:tc>
        <w:tc>
          <w:tcPr>
            <w:tcW w:type="dxa" w:w="626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color w:val="1E2938"/>
                <w:sz w:val="20"/>
                <w:szCs w:val="20"/>
              </w:rPr>
              <w:t xml:space="preserve">Institutes can book a recurring visit series: "Same trainer for monthly industrial visits for 6 months." Trainer accepts the series, and all 6 dates are blocked in a single booking action.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3C1870" w:val="clear"/>
            <w:tcMar>
              <w:top w:type="dxa" w:w="200"/>
              <w:left w:type="dxa" w:w="100"/>
              <w:bottom w:type="dxa" w:w="200"/>
              <w:right w:type="dxa" w:w="100"/>
            </w:tcMar>
            <w:vAlign w:val="center"/>
          </w:tcPr>
          <w:p>
            <w:pPr>
              <w:jc w:val="center"/>
            </w:pPr>
            <w:r>
              <w:rPr>
                <w:rFonts w:ascii="Calibri" w:cs="Calibri" w:eastAsia="Calibri" w:hAnsi="Calibri"/>
                <w:b/>
                <w:bCs/>
                <w:color w:val="E6B000"/>
                <w:sz w:val="54"/>
                <w:szCs w:val="54"/>
              </w:rPr>
              <w:t xml:space="preserve">F12</w:t>
            </w:r>
          </w:p>
        </w:tc>
        <w:tc>
          <w:tcPr>
            <w:tcW w:type="dxa" w:w="8260"/>
            <w:tcBorders>
              <w:top w:val="none" w:color="FFFFFF" w:sz="0"/>
              <w:left w:val="none" w:color="FFFFFF" w:sz="0"/>
              <w:bottom w:val="none" w:color="FFFFFF" w:sz="0"/>
              <w:right w:val="none" w:color="FFFFFF" w:sz="0"/>
            </w:tcBorders>
            <w:shd w:fill="3C1870" w:val="clear"/>
            <w:tcMar>
              <w:top w:type="dxa" w:w="180"/>
              <w:left w:type="dxa" w:w="220"/>
              <w:bottom w:type="dxa" w:w="180"/>
              <w:right w:type="dxa" w:w="120"/>
            </w:tcMar>
          </w:tcPr>
          <w:p>
            <w:r>
              <w:rPr>
                <w:rFonts w:ascii="Calibri" w:cs="Calibri" w:eastAsia="Calibri" w:hAnsi="Calibri"/>
                <w:b/>
                <w:bCs/>
                <w:color w:val="FFFFFF"/>
                <w:sz w:val="36"/>
                <w:szCs w:val="36"/>
              </w:rPr>
              <w:t xml:space="preserve">Trainer Contact Preferences</w:t>
            </w:r>
          </w:p>
          <w:p>
            <w:pPr>
              <w:spacing w:before="30" w:after="0"/>
            </w:pPr>
            <w:r>
              <w:rPr>
                <w:rFonts w:ascii="Calibri" w:cs="Calibri" w:eastAsia="Calibri" w:hAnsi="Calibri"/>
                <w:i/>
                <w:iCs/>
                <w:color w:val="CCDAEE"/>
                <w:sz w:val="19"/>
                <w:szCs w:val="19"/>
              </w:rPr>
              <w:t xml:space="preserve">The complete communication control system — how trainers receive, route, and respond to inquiries from every audience type</w:t>
            </w:r>
          </w:p>
        </w:tc>
      </w:tr>
    </w:tbl>
    <w:p>
      <w:pPr>
        <w:spacing w:before="120" w:after="0"/>
      </w:pPr>
      <w:r>
        <w:t xml:space="preserve"/>
      </w:r>
    </w:p>
    <w:p>
      <w:pPr>
        <w:spacing w:before="340" w:after="150"/>
      </w:pPr>
      <w:r>
        <w:rPr>
          <w:rFonts w:ascii="Calibri" w:cs="Calibri" w:eastAsia="Calibri" w:hAnsi="Calibri"/>
          <w:b/>
          <w:bCs/>
          <w:color w:val="3C1870"/>
          <w:sz w:val="42"/>
          <w:szCs w:val="42"/>
        </w:rPr>
        <w:t xml:space="preserve">Feature 12: Trainer Contact Preferences</w:t>
      </w:r>
    </w:p>
    <w:p>
      <w:pPr>
        <w:pBdr>
          <w:bottom w:val="single" w:color="3C1870" w:sz="8"/>
        </w:pBdr>
        <w:spacing w:before="80" w:after="80"/>
      </w:pPr>
      <w:r>
        <w:t xml:space="preserve"/>
      </w:r>
    </w:p>
    <w:p>
      <w:pPr>
        <w:spacing w:before="60" w:after="60"/>
      </w:pPr>
      <w:r>
        <w:rPr>
          <w:rFonts w:ascii="Calibri" w:cs="Calibri" w:eastAsia="Calibri" w:hAnsi="Calibri"/>
          <w:b w:val="false"/>
          <w:bCs w:val="false"/>
          <w:i w:val="false"/>
          <w:iCs w:val="false"/>
          <w:color w:val="1E2938"/>
          <w:sz w:val="21"/>
          <w:szCs w:val="21"/>
        </w:rPr>
        <w:t xml:space="preserve">Trainer Contact Preferences is the communication architecture layer of the profile. It governs how institutes, companies, students, and mentees can reach the trainer, through which channels, for which purposes, and with what response time expectations. Well-configured contact preferences dramatically reduce spam, irrelevant inquiries, and response delay — all of which damage a trainer's booking conversion rate.</w:t>
      </w:r>
    </w:p>
    <w:p>
      <w:pPr>
        <w:spacing w:before="80" w:after="0"/>
      </w:pPr>
      <w:r>
        <w:t xml:space="preserve"/>
      </w:r>
    </w:p>
    <w:p>
      <w:pPr>
        <w:spacing w:before="260" w:after="110"/>
      </w:pPr>
      <w:r>
        <w:rPr>
          <w:rFonts w:ascii="Calibri" w:cs="Calibri" w:eastAsia="Calibri" w:hAnsi="Calibri"/>
          <w:b/>
          <w:bCs/>
          <w:color w:val="9C5500"/>
          <w:sz w:val="31"/>
          <w:szCs w:val="31"/>
        </w:rPr>
        <w:t xml:space="preserve">12.1 Contact Channel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3C8D3" w:sz="1"/>
              <w:left w:val="single" w:color="C3C8D3" w:sz="1"/>
              <w:bottom w:val="single" w:color="C3C8D3" w:sz="1"/>
              <w:right w:val="single" w:color="C3C8D3" w:sz="1"/>
            </w:tcBorders>
            <w:shd w:fill="3C1870" w:val="clear"/>
            <w:tcMar>
              <w:top w:type="dxa" w:w="110"/>
              <w:left w:type="dxa" w:w="140"/>
              <w:bottom w:type="dxa" w:w="110"/>
              <w:right w:type="dxa" w:w="140"/>
            </w:tcMar>
          </w:tcPr>
          <w:p>
            <w:pPr>
              <w:jc w:val="center"/>
            </w:pPr>
            <w:r>
              <w:rPr>
                <w:rFonts w:ascii="Calibri" w:cs="Calibri" w:eastAsia="Calibri" w:hAnsi="Calibri"/>
                <w:b/>
                <w:bCs/>
                <w:color w:val="FFFFFF"/>
                <w:sz w:val="19"/>
                <w:szCs w:val="19"/>
              </w:rPr>
              <w:t xml:space="preserve">Field / Element</w:t>
            </w:r>
          </w:p>
        </w:tc>
        <w:tc>
          <w:tcPr>
            <w:tcW w:type="dxa" w:w="2600"/>
            <w:tcBorders>
              <w:top w:val="single" w:color="C3C8D3" w:sz="1"/>
              <w:left w:val="single" w:color="C3C8D3" w:sz="1"/>
              <w:bottom w:val="single" w:color="C3C8D3" w:sz="1"/>
              <w:right w:val="single" w:color="C3C8D3" w:sz="1"/>
            </w:tcBorders>
            <w:shd w:fill="3C1870" w:val="clear"/>
            <w:tcMar>
              <w:top w:type="dxa" w:w="110"/>
              <w:left w:type="dxa" w:w="140"/>
              <w:bottom w:type="dxa" w:w="110"/>
              <w:right w:type="dxa" w:w="140"/>
            </w:tcMar>
          </w:tcPr>
          <w:p>
            <w:pPr>
              <w:jc w:val="center"/>
            </w:pPr>
            <w:r>
              <w:rPr>
                <w:rFonts w:ascii="Calibri" w:cs="Calibri" w:eastAsia="Calibri" w:hAnsi="Calibri"/>
                <w:b/>
                <w:bCs/>
                <w:color w:val="FFFFFF"/>
                <w:sz w:val="19"/>
                <w:szCs w:val="19"/>
              </w:rPr>
              <w:t xml:space="preserve">Data Type &amp; Constraints</w:t>
            </w:r>
          </w:p>
        </w:tc>
        <w:tc>
          <w:tcPr>
            <w:tcW w:type="dxa" w:w="4560"/>
            <w:tcBorders>
              <w:top w:val="single" w:color="C3C8D3" w:sz="1"/>
              <w:left w:val="single" w:color="C3C8D3" w:sz="1"/>
              <w:bottom w:val="single" w:color="C3C8D3" w:sz="1"/>
              <w:right w:val="single" w:color="C3C8D3" w:sz="1"/>
            </w:tcBorders>
            <w:shd w:fill="3C1870" w:val="clear"/>
            <w:tcMar>
              <w:top w:type="dxa" w:w="110"/>
              <w:left w:type="dxa" w:w="140"/>
              <w:bottom w:type="dxa" w:w="110"/>
              <w:right w:type="dxa" w:w="140"/>
            </w:tcMar>
          </w:tcPr>
          <w:p>
            <w:pPr>
              <w:jc w:val="center"/>
            </w:pPr>
            <w:r>
              <w:rPr>
                <w:rFonts w:ascii="Calibri" w:cs="Calibri" w:eastAsia="Calibri" w:hAnsi="Calibri"/>
                <w:b/>
                <w:bCs/>
                <w:color w:val="FFFFFF"/>
                <w:sz w:val="19"/>
                <w:szCs w:val="19"/>
              </w:rPr>
              <w:t xml:space="preserve">Purpose &amp; Business Logic</w:t>
            </w:r>
          </w:p>
        </w:tc>
      </w:tr>
      <w:tr>
        <w:tc>
          <w:tcPr>
            <w:tcW w:type="dxa" w:w="22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bCs/>
                <w:color w:val="0B1E38"/>
                <w:sz w:val="19"/>
                <w:szCs w:val="19"/>
              </w:rPr>
              <w:t xml:space="preserve">Platform Inbox (In-App Messaging)</w:t>
            </w:r>
          </w:p>
        </w:tc>
        <w:tc>
          <w:tcPr>
            <w:tcW w:type="dxa" w:w="26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Built-in messaging system within ECOSKILLER. Always available for registered users. Cannot be disabled for registered institutes and companies.</w:t>
            </w:r>
          </w:p>
        </w:tc>
        <w:tc>
          <w:tcPr>
            <w:tcW w:type="dxa" w:w="456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Primary and preferred channel. All communications through the platform inbox are logged, time-stamped, and available for dispute resolution. Trainer can set auto-responses.</w:t>
            </w:r>
          </w:p>
        </w:tc>
      </w:tr>
      <w:tr>
        <w:tc>
          <w:tcPr>
            <w:tcW w:type="dxa" w:w="22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bCs/>
                <w:color w:val="0B1E38"/>
                <w:sz w:val="19"/>
                <w:szCs w:val="19"/>
              </w:rPr>
              <w:t xml:space="preserve">Email Notification Preferences</w:t>
            </w:r>
          </w:p>
        </w:tc>
        <w:tc>
          <w:tcPr>
            <w:tcW w:type="dxa" w:w="26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Trainer configures which events trigger email notifications: new booking inquiry, booking confirmed, booking cancelled, new student mentorship request, review received, payment processed, certificate issued.</w:t>
            </w:r>
          </w:p>
        </w:tc>
        <w:tc>
          <w:tcPr>
            <w:tcW w:type="dxa" w:w="456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Prevents email overload. Trainers only receive email notifications for events they care about. All other events are accessible in-app.</w:t>
            </w:r>
          </w:p>
        </w:tc>
      </w:tr>
      <w:tr>
        <w:tc>
          <w:tcPr>
            <w:tcW w:type="dxa" w:w="22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bCs/>
                <w:color w:val="0B1E38"/>
                <w:sz w:val="19"/>
                <w:szCs w:val="19"/>
              </w:rPr>
              <w:t xml:space="preserve">WhatsApp Opt-In</w:t>
            </w:r>
          </w:p>
        </w:tc>
        <w:tc>
          <w:tcPr>
            <w:tcW w:type="dxa" w:w="26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Optional. Trainer provides WhatsApp number (can be same as registered mobile or different). Institutes with confirmed bookings can initiate WhatsApp contact for logistics coordination.</w:t>
            </w:r>
          </w:p>
        </w:tc>
        <w:tc>
          <w:tcPr>
            <w:tcW w:type="dxa" w:w="456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WhatsApp contact enabled only after booking confirmation — not during inquiry phase. Prevents unsolicited contact.</w:t>
            </w:r>
          </w:p>
        </w:tc>
      </w:tr>
      <w:tr>
        <w:tc>
          <w:tcPr>
            <w:tcW w:type="dxa" w:w="22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bCs/>
                <w:color w:val="0B1E38"/>
                <w:sz w:val="19"/>
                <w:szCs w:val="19"/>
              </w:rPr>
              <w:t xml:space="preserve">Phone Call Preference</w:t>
            </w:r>
          </w:p>
        </w:tc>
        <w:tc>
          <w:tcPr>
            <w:tcW w:type="dxa" w:w="26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Three settings: (1) Accept calls from confirmed-booking institutes only, (2) Accept calls from all registered institutes, (3) No calls — all communication via platform only.</w:t>
            </w:r>
          </w:p>
        </w:tc>
        <w:tc>
          <w:tcPr>
            <w:tcW w:type="dxa" w:w="456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Trainer controls their phone accessibility. High-volume trainers often set "No calls" to protect time.</w:t>
            </w:r>
          </w:p>
        </w:tc>
      </w:tr>
      <w:tr>
        <w:tc>
          <w:tcPr>
            <w:tcW w:type="dxa" w:w="22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bCs/>
                <w:color w:val="0B1E38"/>
                <w:sz w:val="19"/>
                <w:szCs w:val="19"/>
              </w:rPr>
              <w:t xml:space="preserve">Video Call Availability</w:t>
            </w:r>
          </w:p>
        </w:tc>
        <w:tc>
          <w:tcPr>
            <w:tcW w:type="dxa" w:w="260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Trainer configures availability for discovery video calls — pre-booking calls where institutes want to assess the trainer before committing. Scheduled via the platform calendar. Duration: 15 or 30 minutes.</w:t>
            </w:r>
          </w:p>
        </w:tc>
        <w:tc>
          <w:tcPr>
            <w:tcW w:type="dxa" w:w="4560"/>
            <w:tcBorders>
              <w:top w:val="single" w:color="C3C8D3" w:sz="1"/>
              <w:left w:val="single" w:color="C3C8D3" w:sz="1"/>
              <w:bottom w:val="single" w:color="C3C8D3" w:sz="1"/>
              <w:right w:val="single" w:color="C3C8D3" w:sz="1"/>
            </w:tcBorders>
            <w:shd w:fill="F4F7FA"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Discovery calls significantly increase booking conversion for high-value or long-term partnerships. Trainer sets which days and times they offer these calls.</w:t>
            </w:r>
          </w:p>
        </w:tc>
      </w:tr>
      <w:tr>
        <w:tc>
          <w:tcPr>
            <w:tcW w:type="dxa" w:w="22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bCs/>
                <w:color w:val="0B1E38"/>
                <w:sz w:val="19"/>
                <w:szCs w:val="19"/>
              </w:rPr>
              <w:t xml:space="preserve">Response Time Commitment</w:t>
            </w:r>
          </w:p>
        </w:tc>
        <w:tc>
          <w:tcPr>
            <w:tcW w:type="dxa" w:w="260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Trainer declares a response time commitment: 24 hours / 48 hours / 72 hours / Best Effort. This is displayed on the profile and tracked by the platform. Consistently failing the commitment reduces the trainer's Response Rate score.</w:t>
            </w:r>
          </w:p>
        </w:tc>
        <w:tc>
          <w:tcPr>
            <w:tcW w:type="dxa" w:w="4560"/>
            <w:tcBorders>
              <w:top w:val="single" w:color="C3C8D3" w:sz="1"/>
              <w:left w:val="single" w:color="C3C8D3" w:sz="1"/>
              <w:bottom w:val="single" w:color="C3C8D3" w:sz="1"/>
              <w:right w:val="single" w:color="C3C8D3" w:sz="1"/>
            </w:tcBorders>
            <w:shd w:fill="FFFFFF" w:val="clear"/>
            <w:tcMar>
              <w:top w:type="dxa" w:w="90"/>
              <w:left w:type="dxa" w:w="130"/>
              <w:bottom w:type="dxa" w:w="90"/>
              <w:right w:type="dxa" w:w="130"/>
            </w:tcMar>
          </w:tcPr>
          <w:p>
            <w:r>
              <w:rPr>
                <w:rFonts w:ascii="Calibri" w:cs="Calibri" w:eastAsia="Calibri" w:hAnsi="Calibri"/>
                <w:b w:val="false"/>
                <w:bCs w:val="false"/>
                <w:color w:val="1E2938"/>
                <w:sz w:val="18"/>
                <w:szCs w:val="18"/>
              </w:rPr>
              <w:t xml:space="preserve">Platform shows the trainer's declared and actual response time on the profile. Institutes use this to choose trainers who will respond quickly to urgent booking needs.</w:t>
            </w:r>
          </w:p>
        </w:tc>
      </w:tr>
    </w:tbl>
    <w:p>
      <w:pPr>
        <w:spacing w:before="100" w:after="0"/>
      </w:pPr>
      <w:r>
        <w:t xml:space="preserve"/>
      </w:r>
    </w:p>
    <w:p>
      <w:pPr>
        <w:spacing w:before="260" w:after="110"/>
      </w:pPr>
      <w:r>
        <w:rPr>
          <w:rFonts w:ascii="Calibri" w:cs="Calibri" w:eastAsia="Calibri" w:hAnsi="Calibri"/>
          <w:b/>
          <w:bCs/>
          <w:color w:val="3C1870"/>
          <w:sz w:val="31"/>
          <w:szCs w:val="31"/>
        </w:rPr>
        <w:t xml:space="preserve">12.2 Inquiry Type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b/>
                <w:bCs/>
                <w:color w:val="3C1870"/>
                <w:sz w:val="20"/>
                <w:szCs w:val="20"/>
              </w:rPr>
              <w:t xml:space="preserve">Industrial Visit Inquiries</w:t>
            </w:r>
          </w:p>
        </w:tc>
        <w:tc>
          <w:tcPr>
            <w:tcW w:type="dxa" w:w="626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color w:val="1E2938"/>
                <w:sz w:val="20"/>
                <w:szCs w:val="20"/>
              </w:rPr>
              <w:t xml:space="preserve">Trainer can configure: auto-route all visit inquiries to the booking calendar (no messaging required), or require a pre-booking conversation for visit inquiries above a certain student group size or duration.</w:t>
            </w:r>
          </w:p>
        </w:tc>
      </w:tr>
      <w:tr>
        <w:tc>
          <w:tcPr>
            <w:tcW w:type="dxa" w:w="310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b/>
                <w:bCs/>
                <w:color w:val="3C1870"/>
                <w:sz w:val="20"/>
                <w:szCs w:val="20"/>
              </w:rPr>
              <w:t xml:space="preserve">Course / Training Enrollment</w:t>
            </w:r>
          </w:p>
        </w:tc>
        <w:tc>
          <w:tcPr>
            <w:tcW w:type="dxa" w:w="626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color w:val="1E2938"/>
                <w:sz w:val="20"/>
                <w:szCs w:val="20"/>
              </w:rPr>
              <w:t xml:space="preserve">For trainers who run scheduled courses: students and institutes enroll via the course enrollment system, not the contact form. Contact preferences for courses are managed separately in the course management panel.</w:t>
            </w:r>
          </w:p>
        </w:tc>
      </w:tr>
      <w:tr>
        <w:tc>
          <w:tcPr>
            <w:tcW w:type="dxa" w:w="310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b/>
                <w:bCs/>
                <w:color w:val="3C1870"/>
                <w:sz w:val="20"/>
                <w:szCs w:val="20"/>
              </w:rPr>
              <w:t xml:space="preserve">Mentorship / Coaching Requests</w:t>
            </w:r>
          </w:p>
        </w:tc>
        <w:tc>
          <w:tcPr>
            <w:tcW w:type="dxa" w:w="626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color w:val="1E2938"/>
                <w:sz w:val="20"/>
                <w:szCs w:val="20"/>
              </w:rPr>
              <w:t xml:space="preserve">Students requesting 1-on-1 sessions: routed to the mentorship booking system. Trainer configures: accept from all students, accept only from students at specific institutes, or require a pre-qualification questionnaire.</w:t>
            </w:r>
          </w:p>
        </w:tc>
      </w:tr>
      <w:tr>
        <w:tc>
          <w:tcPr>
            <w:tcW w:type="dxa" w:w="310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b/>
                <w:bCs/>
                <w:color w:val="3C1870"/>
                <w:sz w:val="20"/>
                <w:szCs w:val="20"/>
              </w:rPr>
              <w:t xml:space="preserve">Corporate Training Inquiries</w:t>
            </w:r>
          </w:p>
        </w:tc>
        <w:tc>
          <w:tcPr>
            <w:tcW w:type="dxa" w:w="626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color w:val="1E2938"/>
                <w:sz w:val="20"/>
                <w:szCs w:val="20"/>
              </w:rPr>
              <w:t xml:space="preserve">Separate inquiry type for companies (not institutes) seeking corporate L&amp;D training. Trainer can configure a distinct response for corporate inquiries including a prompt to share the corporate training brief template.</w:t>
            </w:r>
          </w:p>
        </w:tc>
      </w:tr>
      <w:tr>
        <w:tc>
          <w:tcPr>
            <w:tcW w:type="dxa" w:w="310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b/>
                <w:bCs/>
                <w:color w:val="3C1870"/>
                <w:sz w:val="20"/>
                <w:szCs w:val="20"/>
              </w:rPr>
              <w:t xml:space="preserve">Research / Collaboration Inquiries</w:t>
            </w:r>
          </w:p>
        </w:tc>
        <w:tc>
          <w:tcPr>
            <w:tcW w:type="dxa" w:w="626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color w:val="1E2938"/>
                <w:sz w:val="20"/>
                <w:szCs w:val="20"/>
              </w:rPr>
              <w:t xml:space="preserve">Academics, journalists, or organizations seeking the trainer for research or collaboration purposes. Routed to a specific contact form with required fields: organization, purpose, scope, and expected duration.</w:t>
            </w:r>
          </w:p>
        </w:tc>
      </w:tr>
      <w:tr>
        <w:tc>
          <w:tcPr>
            <w:tcW w:type="dxa" w:w="310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b/>
                <w:bCs/>
                <w:color w:val="3C1870"/>
                <w:sz w:val="20"/>
                <w:szCs w:val="20"/>
              </w:rPr>
              <w:t xml:space="preserve">Spam &amp; Unsolicited Filtering</w:t>
            </w:r>
          </w:p>
        </w:tc>
        <w:tc>
          <w:tcPr>
            <w:tcW w:type="dxa" w:w="626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color w:val="1E2938"/>
                <w:sz w:val="20"/>
                <w:szCs w:val="20"/>
              </w:rPr>
              <w:t xml:space="preserve">Platform uses AI to detect spam or clearly irrelevant inquiries before they reach the trainer. Filtered messages sent to a "Review Queue" — trainer sees a count but does not receive notifications. Reduces noise.</w:t>
            </w:r>
          </w:p>
        </w:tc>
      </w:tr>
    </w:tbl>
    <w:p>
      <w:pPr>
        <w:spacing w:before="100" w:after="0"/>
      </w:pPr>
      <w:r>
        <w:t xml:space="preserve"/>
      </w:r>
    </w:p>
    <w:p>
      <w:pPr>
        <w:spacing w:before="260" w:after="110"/>
      </w:pPr>
      <w:r>
        <w:rPr>
          <w:rFonts w:ascii="Calibri" w:cs="Calibri" w:eastAsia="Calibri" w:hAnsi="Calibri"/>
          <w:b/>
          <w:bCs/>
          <w:color w:val="3C1870"/>
          <w:sz w:val="31"/>
          <w:szCs w:val="31"/>
        </w:rPr>
        <w:t xml:space="preserve">12.3 Auto-Response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b/>
                <w:bCs/>
                <w:color w:val="3C1870"/>
                <w:sz w:val="20"/>
                <w:szCs w:val="20"/>
              </w:rPr>
              <w:t xml:space="preserve">Availability Acknowledgment</w:t>
            </w:r>
          </w:p>
        </w:tc>
        <w:tc>
          <w:tcPr>
            <w:tcW w:type="dxa" w:w="626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color w:val="1E2938"/>
                <w:sz w:val="20"/>
                <w:szCs w:val="20"/>
              </w:rPr>
              <w:t xml:space="preserve">Auto-sent when an inquiry is received for a date that is within the trainer's available window: "Thank you for your inquiry. I am available on [date]. Please proceed to booking confirmation or I will follow up within [X hours]."</w:t>
            </w:r>
          </w:p>
        </w:tc>
      </w:tr>
      <w:tr>
        <w:tc>
          <w:tcPr>
            <w:tcW w:type="dxa" w:w="310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b/>
                <w:bCs/>
                <w:color w:val="3C1870"/>
                <w:sz w:val="20"/>
                <w:szCs w:val="20"/>
              </w:rPr>
              <w:t xml:space="preserve">Unavailability Response</w:t>
            </w:r>
          </w:p>
        </w:tc>
        <w:tc>
          <w:tcPr>
            <w:tcW w:type="dxa" w:w="626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color w:val="1E2938"/>
                <w:sz w:val="20"/>
                <w:szCs w:val="20"/>
              </w:rPr>
              <w:t xml:space="preserve">Auto-sent when an inquiry is for a blocked or unavailable date: "Thank you for reaching out. I am not available on [date], but I have availability on [alternative dates]. Would any of these work for your program?"</w:t>
            </w:r>
          </w:p>
        </w:tc>
      </w:tr>
      <w:tr>
        <w:tc>
          <w:tcPr>
            <w:tcW w:type="dxa" w:w="310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b/>
                <w:bCs/>
                <w:color w:val="3C1870"/>
                <w:sz w:val="20"/>
                <w:szCs w:val="20"/>
              </w:rPr>
              <w:t xml:space="preserve">Qualification Questions Template</w:t>
            </w:r>
          </w:p>
        </w:tc>
        <w:tc>
          <w:tcPr>
            <w:tcW w:type="dxa" w:w="626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color w:val="1E2938"/>
                <w:sz w:val="20"/>
                <w:szCs w:val="20"/>
              </w:rPr>
              <w:t xml:space="preserve">For complex or multi-day engagements: trainer sets up a qualification questionnaire sent automatically on inquiry: student group size, pre-requisite knowledge level, specific topics to cover, host company or venue, budget range.</w:t>
            </w:r>
          </w:p>
        </w:tc>
      </w:tr>
      <w:tr>
        <w:tc>
          <w:tcPr>
            <w:tcW w:type="dxa" w:w="310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b/>
                <w:bCs/>
                <w:color w:val="3C1870"/>
                <w:sz w:val="20"/>
                <w:szCs w:val="20"/>
              </w:rPr>
              <w:t xml:space="preserve">Out-of-Office Message</w:t>
            </w:r>
          </w:p>
        </w:tc>
        <w:tc>
          <w:tcPr>
            <w:tcW w:type="dxa" w:w="626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color w:val="1E2938"/>
                <w:sz w:val="20"/>
                <w:szCs w:val="20"/>
              </w:rPr>
              <w:t xml:space="preserve">When trainer is on break or travel: a custom message sent to all new inquiries explaining absence, expected return date, and alternative trainers they can explore (optional: platform suggests similar verified trainers automatically).</w:t>
            </w:r>
          </w:p>
        </w:tc>
      </w:tr>
      <w:tr>
        <w:tc>
          <w:tcPr>
            <w:tcW w:type="dxa" w:w="310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b/>
                <w:bCs/>
                <w:color w:val="3C1870"/>
                <w:sz w:val="20"/>
                <w:szCs w:val="20"/>
              </w:rPr>
              <w:t xml:space="preserve">Post-Visit Follow-Up Template</w:t>
            </w:r>
          </w:p>
        </w:tc>
        <w:tc>
          <w:tcPr>
            <w:tcW w:type="dxa" w:w="626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color w:val="1E2938"/>
                <w:sz w:val="20"/>
                <w:szCs w:val="20"/>
              </w:rPr>
              <w:t xml:space="preserve">Automatically sent 48 hours after a completed visit: a thank you message with a request for a review, a reminder to issue the certificate (if manual issuance is configured), and an offer to schedule follow-up sessions.</w:t>
            </w:r>
          </w:p>
        </w:tc>
      </w:tr>
      <w:tr>
        <w:tc>
          <w:tcPr>
            <w:tcW w:type="dxa" w:w="310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b/>
                <w:bCs/>
                <w:color w:val="3C1870"/>
                <w:sz w:val="20"/>
                <w:szCs w:val="20"/>
              </w:rPr>
              <w:t xml:space="preserve">Booking Confirmation Template</w:t>
            </w:r>
          </w:p>
        </w:tc>
        <w:tc>
          <w:tcPr>
            <w:tcW w:type="dxa" w:w="626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color w:val="1E2938"/>
                <w:sz w:val="20"/>
                <w:szCs w:val="20"/>
              </w:rPr>
              <w:t xml:space="preserve">On booking confirmation: sent to both institute and trainer. Contains: visit date, time, duration, student group size, location, key contacts, pre-visit checklist, and cancellation policy reminder.</w:t>
            </w:r>
          </w:p>
        </w:tc>
      </w:tr>
    </w:tbl>
    <w:p>
      <w:pPr>
        <w:spacing w:before="100" w:after="0"/>
      </w:pPr>
      <w:r>
        <w:t xml:space="preserve"/>
      </w:r>
    </w:p>
    <w:p>
      <w:pPr>
        <w:spacing w:before="260" w:after="110"/>
      </w:pPr>
      <w:r>
        <w:rPr>
          <w:rFonts w:ascii="Calibri" w:cs="Calibri" w:eastAsia="Calibri" w:hAnsi="Calibri"/>
          <w:b/>
          <w:bCs/>
          <w:color w:val="3C1870"/>
          <w:sz w:val="31"/>
          <w:szCs w:val="31"/>
        </w:rPr>
        <w:t xml:space="preserve">12.4 Communication Analytics Dashboard (Trainer-Facing)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b/>
                <w:bCs/>
                <w:color w:val="3C1870"/>
                <w:sz w:val="20"/>
                <w:szCs w:val="20"/>
              </w:rPr>
              <w:t xml:space="preserve">Inquiry Volume Chart</w:t>
            </w:r>
          </w:p>
        </w:tc>
        <w:tc>
          <w:tcPr>
            <w:tcW w:type="dxa" w:w="626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color w:val="1E2938"/>
                <w:sz w:val="20"/>
                <w:szCs w:val="20"/>
              </w:rPr>
              <w:t xml:space="preserve">Monthly bar chart: total inquiries received, inquiries responded to, inquiries converted to bookings. Helps trainers identify months of high demand and optimize availability.</w:t>
            </w:r>
          </w:p>
        </w:tc>
      </w:tr>
      <w:tr>
        <w:tc>
          <w:tcPr>
            <w:tcW w:type="dxa" w:w="310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b/>
                <w:bCs/>
                <w:color w:val="3C1870"/>
                <w:sz w:val="20"/>
                <w:szCs w:val="20"/>
              </w:rPr>
              <w:t xml:space="preserve">Response Rate Tracker</w:t>
            </w:r>
          </w:p>
        </w:tc>
        <w:tc>
          <w:tcPr>
            <w:tcW w:type="dxa" w:w="626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color w:val="1E2938"/>
                <w:sz w:val="20"/>
                <w:szCs w:val="20"/>
              </w:rPr>
              <w:t xml:space="preserve">Percentage of inquiries responded to within the trainer's declared commitment window. Displayed on the public profile. Target: 90%+. Below 70% triggers a profile visibility reduction warning.</w:t>
            </w:r>
          </w:p>
        </w:tc>
      </w:tr>
      <w:tr>
        <w:tc>
          <w:tcPr>
            <w:tcW w:type="dxa" w:w="310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b/>
                <w:bCs/>
                <w:color w:val="3C1870"/>
                <w:sz w:val="20"/>
                <w:szCs w:val="20"/>
              </w:rPr>
              <w:t xml:space="preserve">Inquiry Source Breakdown</w:t>
            </w:r>
          </w:p>
        </w:tc>
        <w:tc>
          <w:tcPr>
            <w:tcW w:type="dxa" w:w="626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color w:val="1E2938"/>
                <w:sz w:val="20"/>
                <w:szCs w:val="20"/>
              </w:rPr>
              <w:t xml:space="preserve">Pie chart: where inquiries are coming from — direct profile search, institute referral, platform recommendation, external search engine, social media, or student referral.</w:t>
            </w:r>
          </w:p>
        </w:tc>
      </w:tr>
      <w:tr>
        <w:tc>
          <w:tcPr>
            <w:tcW w:type="dxa" w:w="310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b/>
                <w:bCs/>
                <w:color w:val="3C1870"/>
                <w:sz w:val="20"/>
                <w:szCs w:val="20"/>
              </w:rPr>
              <w:t xml:space="preserve">Most Inquired Visit Types</w:t>
            </w:r>
          </w:p>
        </w:tc>
        <w:tc>
          <w:tcPr>
            <w:tcW w:type="dxa" w:w="626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color w:val="1E2938"/>
                <w:sz w:val="20"/>
                <w:szCs w:val="20"/>
              </w:rPr>
              <w:t xml:space="preserve">Bar chart: which of the trainer's domain visit types receive the most inquiries. Helps trainers understand what the market values most in their profile and potentially expand in those areas.</w:t>
            </w:r>
          </w:p>
        </w:tc>
      </w:tr>
      <w:tr>
        <w:tc>
          <w:tcPr>
            <w:tcW w:type="dxa" w:w="310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b/>
                <w:bCs/>
                <w:color w:val="3C1870"/>
                <w:sz w:val="20"/>
                <w:szCs w:val="20"/>
              </w:rPr>
              <w:t xml:space="preserve">Response-to-Booking Conversion Rate</w:t>
            </w:r>
          </w:p>
        </w:tc>
        <w:tc>
          <w:tcPr>
            <w:tcW w:type="dxa" w:w="6260"/>
            <w:tcBorders>
              <w:top w:val="single" w:color="C3C8D3" w:sz="1"/>
              <w:left w:val="single" w:color="C3C8D3" w:sz="1"/>
              <w:bottom w:val="single" w:color="C3C8D3" w:sz="1"/>
              <w:right w:val="single" w:color="C3C8D3" w:sz="1"/>
            </w:tcBorders>
            <w:shd w:fill="F4F7FA" w:val="clear"/>
            <w:tcMar>
              <w:top w:type="dxa" w:w="100"/>
              <w:left w:type="dxa" w:w="140"/>
              <w:bottom w:type="dxa" w:w="100"/>
              <w:right w:type="dxa" w:w="140"/>
            </w:tcMar>
          </w:tcPr>
          <w:p>
            <w:r>
              <w:rPr>
                <w:rFonts w:ascii="Calibri" w:cs="Calibri" w:eastAsia="Calibri" w:hAnsi="Calibri"/>
                <w:color w:val="1E2938"/>
                <w:sz w:val="20"/>
                <w:szCs w:val="20"/>
              </w:rPr>
              <w:t xml:space="preserve">Percentage of inquiries that convert to confirmed bookings. Platform benchmark: top trainers convert 45–55% of inquiries. Low conversion is a signal to review bio, pricing, or qualification fit.</w:t>
            </w:r>
          </w:p>
        </w:tc>
      </w:tr>
      <w:tr>
        <w:tc>
          <w:tcPr>
            <w:tcW w:type="dxa" w:w="310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b/>
                <w:bCs/>
                <w:color w:val="3C1870"/>
                <w:sz w:val="20"/>
                <w:szCs w:val="20"/>
              </w:rPr>
              <w:t xml:space="preserve">Lost Booking Analysis</w:t>
            </w:r>
          </w:p>
        </w:tc>
        <w:tc>
          <w:tcPr>
            <w:tcW w:type="dxa" w:w="6260"/>
            <w:tcBorders>
              <w:top w:val="single" w:color="C3C8D3" w:sz="1"/>
              <w:left w:val="single" w:color="C3C8D3" w:sz="1"/>
              <w:bottom w:val="single" w:color="C3C8D3" w:sz="1"/>
              <w:right w:val="single" w:color="C3C8D3" w:sz="1"/>
            </w:tcBorders>
            <w:shd w:fill="FFFFFF" w:val="clear"/>
            <w:tcMar>
              <w:top w:type="dxa" w:w="100"/>
              <w:left w:type="dxa" w:w="140"/>
              <w:bottom w:type="dxa" w:w="100"/>
              <w:right w:type="dxa" w:w="140"/>
            </w:tcMar>
          </w:tcPr>
          <w:p>
            <w:r>
              <w:rPr>
                <w:rFonts w:ascii="Calibri" w:cs="Calibri" w:eastAsia="Calibri" w:hAnsi="Calibri"/>
                <w:color w:val="1E2938"/>
                <w:sz w:val="20"/>
                <w:szCs w:val="20"/>
              </w:rPr>
              <w:t xml:space="preserve">When an institute initiates a booking inquiry but does not confirm: the platform (with consent) asks a brief exit question: "Why did you not proceed?" Anonymized reasons are shared with the trainer as "Lost Booking Insights."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E38" w:val="clear"/>
            <w:tcMar>
              <w:top w:type="dxa" w:w="200"/>
              <w:left w:type="dxa" w:w="280"/>
              <w:bottom w:type="dxa" w:w="200"/>
              <w:right w:type="dxa" w:w="280"/>
            </w:tcMar>
          </w:tcPr>
          <w:p>
            <w:r>
              <w:rPr>
                <w:rFonts w:ascii="Calibri" w:cs="Calibri" w:eastAsia="Calibri" w:hAnsi="Calibri"/>
                <w:b/>
                <w:bCs/>
                <w:color w:val="FFFFFF"/>
                <w:sz w:val="40"/>
                <w:szCs w:val="40"/>
              </w:rPr>
              <w:t xml:space="preserve">MASTER SUMMARY — ALL 12 FEATURES AT A GLANCE</w:t>
            </w:r>
          </w:p>
          <w:p>
            <w:pPr>
              <w:spacing w:before="36" w:after="0"/>
            </w:pPr>
            <w:r>
              <w:rPr>
                <w:rFonts w:ascii="Calibri" w:cs="Calibri" w:eastAsia="Calibri" w:hAnsi="Calibri"/>
                <w:i/>
                <w:iCs/>
                <w:color w:val="CCDAEE"/>
                <w:sz w:val="18"/>
                <w:szCs w:val="18"/>
              </w:rPr>
              <w:t xml:space="preserve">Complete Reference for the Trainer Profile Management System</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rPr>
          <w:tblHeader/>
        </w:trPr>
        <w:tc>
          <w:tcPr>
            <w:tcW w:type="dxa" w:w="1400"/>
            <w:tcBorders>
              <w:top w:val="single" w:color="C3C8D3" w:sz="1"/>
              <w:left w:val="single" w:color="C3C8D3" w:sz="1"/>
              <w:bottom w:val="single" w:color="C3C8D3" w:sz="1"/>
              <w:right w:val="single" w:color="C3C8D3" w:sz="1"/>
            </w:tcBorders>
            <w:shd w:fill="0B1E38" w:val="clear"/>
            <w:tcMar>
              <w:top w:type="dxa" w:w="110"/>
              <w:left w:type="dxa" w:w="140"/>
              <w:bottom w:type="dxa" w:w="110"/>
              <w:right w:type="dxa" w:w="140"/>
            </w:tcMar>
          </w:tcPr>
          <w:p>
            <w:pPr>
              <w:jc w:val="center"/>
            </w:pPr>
            <w:r>
              <w:rPr>
                <w:rFonts w:ascii="Calibri" w:cs="Calibri" w:eastAsia="Calibri" w:hAnsi="Calibri"/>
                <w:b/>
                <w:bCs/>
                <w:color w:val="FFFFFF"/>
                <w:sz w:val="20"/>
                <w:szCs w:val="20"/>
              </w:rPr>
              <w:t xml:space="preserve">Feature</w:t>
            </w:r>
          </w:p>
        </w:tc>
        <w:tc>
          <w:tcPr>
            <w:tcW w:type="dxa" w:w="3600"/>
            <w:tcBorders>
              <w:top w:val="single" w:color="C3C8D3" w:sz="1"/>
              <w:left w:val="single" w:color="C3C8D3" w:sz="1"/>
              <w:bottom w:val="single" w:color="C3C8D3" w:sz="1"/>
              <w:right w:val="single" w:color="C3C8D3" w:sz="1"/>
            </w:tcBorders>
            <w:shd w:fill="0B1E38" w:val="clear"/>
            <w:tcMar>
              <w:top w:type="dxa" w:w="110"/>
              <w:left w:type="dxa" w:w="140"/>
              <w:bottom w:type="dxa" w:w="110"/>
              <w:right w:type="dxa" w:w="140"/>
            </w:tcMar>
          </w:tcPr>
          <w:p>
            <w:pPr>
              <w:jc w:val="center"/>
            </w:pPr>
            <w:r>
              <w:rPr>
                <w:rFonts w:ascii="Calibri" w:cs="Calibri" w:eastAsia="Calibri" w:hAnsi="Calibri"/>
                <w:b/>
                <w:bCs/>
                <w:color w:val="FFFFFF"/>
                <w:sz w:val="20"/>
                <w:szCs w:val="20"/>
              </w:rPr>
              <w:t xml:space="preserve">Core Purpose</w:t>
            </w:r>
          </w:p>
        </w:tc>
        <w:tc>
          <w:tcPr>
            <w:tcW w:type="dxa" w:w="4360"/>
            <w:tcBorders>
              <w:top w:val="single" w:color="C3C8D3" w:sz="1"/>
              <w:left w:val="single" w:color="C3C8D3" w:sz="1"/>
              <w:bottom w:val="single" w:color="C3C8D3" w:sz="1"/>
              <w:right w:val="single" w:color="C3C8D3" w:sz="1"/>
            </w:tcBorders>
            <w:shd w:fill="0B1E38" w:val="clear"/>
            <w:tcMar>
              <w:top w:type="dxa" w:w="110"/>
              <w:left w:type="dxa" w:w="140"/>
              <w:bottom w:type="dxa" w:w="110"/>
              <w:right w:type="dxa" w:w="140"/>
            </w:tcMar>
          </w:tcPr>
          <w:p>
            <w:pPr>
              <w:jc w:val="center"/>
            </w:pPr>
            <w:r>
              <w:rPr>
                <w:rFonts w:ascii="Calibri" w:cs="Calibri" w:eastAsia="Calibri" w:hAnsi="Calibri"/>
                <w:b/>
                <w:bCs/>
                <w:color w:val="FFFFFF"/>
                <w:sz w:val="20"/>
                <w:szCs w:val="20"/>
              </w:rPr>
              <w:t xml:space="preserve">Key Output / Value</w:t>
            </w:r>
          </w:p>
        </w:tc>
      </w:tr>
      <w:tr>
        <w:tc>
          <w:tcPr>
            <w:tcW w:type="dxa" w:w="140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bCs/>
                <w:color w:val="0B1E38"/>
                <w:sz w:val="20"/>
                <w:szCs w:val="20"/>
              </w:rPr>
              <w:t xml:space="preserve">F1: Trainer Professional Profile</w:t>
            </w:r>
          </w:p>
        </w:tc>
        <w:tc>
          <w:tcPr>
            <w:tcW w:type="dxa" w:w="360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Master identity card with all core identity fields, verification badge display, and profile quality scoring.</w:t>
            </w:r>
          </w:p>
        </w:tc>
        <w:tc>
          <w:tcPr>
            <w:tcW w:type="dxa" w:w="436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A structured, trust-signaling public profile that serves as resume, service catalog, and booking entry point simultaneously.</w:t>
            </w:r>
          </w:p>
        </w:tc>
      </w:tr>
      <w:tr>
        <w:tc>
          <w:tcPr>
            <w:tcW w:type="dxa" w:w="140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bCs/>
                <w:color w:val="0B1E38"/>
                <w:sz w:val="20"/>
                <w:szCs w:val="20"/>
              </w:rPr>
              <w:t xml:space="preserve">F2: Domain Specialization Listing</w:t>
            </w:r>
          </w:p>
        </w:tc>
        <w:tc>
          <w:tcPr>
            <w:tcW w:type="dxa" w:w="360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Hierarchical, verification-linked domain taxonomy assignment with AI depth scoring and search weight rules.</w:t>
            </w:r>
          </w:p>
        </w:tc>
        <w:tc>
          <w:tcPr>
            <w:tcW w:type="dxa" w:w="436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Institutes find the right trainer for the right domain visit — not the most keyword-stuffed profile.</w:t>
            </w:r>
          </w:p>
        </w:tc>
      </w:tr>
      <w:tr>
        <w:tc>
          <w:tcPr>
            <w:tcW w:type="dxa" w:w="140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bCs/>
                <w:color w:val="0B1E38"/>
                <w:sz w:val="20"/>
                <w:szCs w:val="20"/>
              </w:rPr>
              <w:t xml:space="preserve">F3: Skills &amp; Tools Listing</w:t>
            </w:r>
          </w:p>
        </w:tc>
        <w:tc>
          <w:tcPr>
            <w:tcW w:type="dxa" w:w="360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Multi-layer skill catalog: technical skills, soft skills, and tools — each with proficiency level, verification source, and recency.</w:t>
            </w:r>
          </w:p>
        </w:tc>
        <w:tc>
          <w:tcPr>
            <w:tcW w:type="dxa" w:w="436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Institutes can compare trainers on specific skills with confidence that the skills are verified, not self-declared.</w:t>
            </w:r>
          </w:p>
        </w:tc>
      </w:tr>
      <w:tr>
        <w:tc>
          <w:tcPr>
            <w:tcW w:type="dxa" w:w="140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bCs/>
                <w:color w:val="0B1E38"/>
                <w:sz w:val="20"/>
                <w:szCs w:val="20"/>
              </w:rPr>
              <w:t xml:space="preserve">F4: Experience Timeline</w:t>
            </w:r>
          </w:p>
        </w:tc>
        <w:tc>
          <w:tcPr>
            <w:tcW w:type="dxa" w:w="360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Verified, evidence-backed chronological work history with inline verification status, gap visualization, and domain color coding.</w:t>
            </w:r>
          </w:p>
        </w:tc>
        <w:tc>
          <w:tcPr>
            <w:tcW w:type="dxa" w:w="436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Institutes see exactly where the trainer worked, what they did, and whether each role is verified — all in one view.</w:t>
            </w:r>
          </w:p>
        </w:tc>
      </w:tr>
      <w:tr>
        <w:tc>
          <w:tcPr>
            <w:tcW w:type="dxa" w:w="140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bCs/>
                <w:color w:val="0B1E38"/>
                <w:sz w:val="20"/>
                <w:szCs w:val="20"/>
              </w:rPr>
              <w:t xml:space="preserve">F5: Certifications Upload</w:t>
            </w:r>
          </w:p>
        </w:tc>
        <w:tc>
          <w:tcPr>
            <w:tcW w:type="dxa" w:w="360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Integrated certification verification pipeline with API-verified, document-verified, and expiry-tracked certification display.</w:t>
            </w:r>
          </w:p>
        </w:tc>
        <w:tc>
          <w:tcPr>
            <w:tcW w:type="dxa" w:w="436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Every certification on the profile either has a verification status or is clearly labeled as pending — no ambiguity.</w:t>
            </w:r>
          </w:p>
        </w:tc>
      </w:tr>
      <w:tr>
        <w:tc>
          <w:tcPr>
            <w:tcW w:type="dxa" w:w="140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bCs/>
                <w:color w:val="0B1E38"/>
                <w:sz w:val="20"/>
                <w:szCs w:val="20"/>
              </w:rPr>
              <w:t xml:space="preserve">F6: Portfolio / Project Showcase</w:t>
            </w:r>
          </w:p>
        </w:tc>
        <w:tc>
          <w:tcPr>
            <w:tcW w:type="dxa" w:w="360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Structured evidence of what the trainer has built, taught, and delivered — 8 item types with quality scoring and plagiarism checking.</w:t>
            </w:r>
          </w:p>
        </w:tc>
        <w:tc>
          <w:tcPr>
            <w:tcW w:type="dxa" w:w="436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Institutes move from "does this person know their domain" to "has this person actually delivered results in their domain."</w:t>
            </w:r>
          </w:p>
        </w:tc>
      </w:tr>
      <w:tr>
        <w:tc>
          <w:tcPr>
            <w:tcW w:type="dxa" w:w="140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bCs/>
                <w:color w:val="0B1E38"/>
                <w:sz w:val="20"/>
                <w:szCs w:val="20"/>
              </w:rPr>
              <w:t xml:space="preserve">F7: Industry Exposure Listing</w:t>
            </w:r>
          </w:p>
        </w:tc>
        <w:tc>
          <w:tcPr>
            <w:tcW w:type="dxa" w:w="360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Specific industries, plant types, processes, and companies the trainer has genuine first-hand exposure to — beyond job titles.</w:t>
            </w:r>
          </w:p>
        </w:tc>
        <w:tc>
          <w:tcPr>
            <w:tcW w:type="dxa" w:w="436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The difference between a trainer who can explain a factory and one who has walked a factory floor for 10 years is visible.</w:t>
            </w:r>
          </w:p>
        </w:tc>
      </w:tr>
      <w:tr>
        <w:tc>
          <w:tcPr>
            <w:tcW w:type="dxa" w:w="140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bCs/>
                <w:color w:val="0B1E38"/>
                <w:sz w:val="20"/>
                <w:szCs w:val="20"/>
              </w:rPr>
              <w:t xml:space="preserve">F8: Personal Trainer Bio</w:t>
            </w:r>
          </w:p>
        </w:tc>
        <w:tc>
          <w:tcPr>
            <w:tcW w:type="dxa" w:w="360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Structured narrative framework: origin story, domain philosophy, facilitation style, and CTA — with AI quality scoring and multilingual support.</w:t>
            </w:r>
          </w:p>
        </w:tc>
        <w:tc>
          <w:tcPr>
            <w:tcW w:type="dxa" w:w="436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A bio that converts more bookings by giving institutes confidence in the human behind the credentials.</w:t>
            </w:r>
          </w:p>
        </w:tc>
      </w:tr>
      <w:tr>
        <w:tc>
          <w:tcPr>
            <w:tcW w:type="dxa" w:w="140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bCs/>
                <w:color w:val="0B1E38"/>
                <w:sz w:val="20"/>
                <w:szCs w:val="20"/>
              </w:rPr>
              <w:t xml:space="preserve">F9: Profile Media Uploads</w:t>
            </w:r>
          </w:p>
        </w:tc>
        <w:tc>
          <w:tcPr>
            <w:tcW w:type="dxa" w:w="360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Photos, videos, sample materials, and knowledge articles — with AI quality analysis, consent management, and student-safe processing.</w:t>
            </w:r>
          </w:p>
        </w:tc>
        <w:tc>
          <w:tcPr>
            <w:tcW w:type="dxa" w:w="436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Institutes can watch the trainer in action before booking. Visual confidence = faster booking decisions.</w:t>
            </w:r>
          </w:p>
        </w:tc>
      </w:tr>
      <w:tr>
        <w:tc>
          <w:tcPr>
            <w:tcW w:type="dxa" w:w="140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bCs/>
                <w:color w:val="0B1E38"/>
                <w:sz w:val="20"/>
                <w:szCs w:val="20"/>
              </w:rPr>
              <w:t xml:space="preserve">F10: Profile Visibility Settings</w:t>
            </w:r>
          </w:p>
        </w:tc>
        <w:tc>
          <w:tcPr>
            <w:tcW w:type="dxa" w:w="360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4-audience, 12-section permission matrix for granular control over who sees what, combined with search discoverability configuration.</w:t>
            </w:r>
          </w:p>
        </w:tc>
        <w:tc>
          <w:tcPr>
            <w:tcW w:type="dxa" w:w="436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Trainer controls their market positioning. Premium content visible only to the right audience. No privacy anxiety.</w:t>
            </w:r>
          </w:p>
        </w:tc>
      </w:tr>
      <w:tr>
        <w:tc>
          <w:tcPr>
            <w:tcW w:type="dxa" w:w="140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bCs/>
                <w:color w:val="0B1E38"/>
                <w:sz w:val="20"/>
                <w:szCs w:val="20"/>
              </w:rPr>
              <w:t xml:space="preserve">F11: Availability Calendar</w:t>
            </w:r>
          </w:p>
        </w:tc>
        <w:tc>
          <w:tcPr>
            <w:tcW w:type="dxa" w:w="360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Real-time scheduling system with working hours, blocked dates, buffer rules, calendar sync, and booking flow integration.</w:t>
            </w:r>
          </w:p>
        </w:tc>
        <w:tc>
          <w:tcPr>
            <w:tcW w:type="dxa" w:w="4360"/>
            <w:tcBorders>
              <w:top w:val="single" w:color="C3C8D3" w:sz="1"/>
              <w:left w:val="single" w:color="C3C8D3" w:sz="1"/>
              <w:bottom w:val="single" w:color="C3C8D3" w:sz="1"/>
              <w:right w:val="single" w:color="C3C8D3" w:sz="1"/>
            </w:tcBorders>
            <w:shd w:fill="F4F7FA"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No more back-and-forth messages. Institutes book in real time. Trainers manage time without manual coordination.</w:t>
            </w:r>
          </w:p>
        </w:tc>
      </w:tr>
      <w:tr>
        <w:tc>
          <w:tcPr>
            <w:tcW w:type="dxa" w:w="140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bCs/>
                <w:color w:val="0B1E38"/>
                <w:sz w:val="20"/>
                <w:szCs w:val="20"/>
              </w:rPr>
              <w:t xml:space="preserve">F12: Contact Preferences</w:t>
            </w:r>
          </w:p>
        </w:tc>
        <w:tc>
          <w:tcPr>
            <w:tcW w:type="dxa" w:w="360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Multi-channel communication control: inquiry routing, auto-responses, response time commitment, and communication analytics.</w:t>
            </w:r>
          </w:p>
        </w:tc>
        <w:tc>
          <w:tcPr>
            <w:tcW w:type="dxa" w:w="4360"/>
            <w:tcBorders>
              <w:top w:val="single" w:color="C3C8D3" w:sz="1"/>
              <w:left w:val="single" w:color="C3C8D3" w:sz="1"/>
              <w:bottom w:val="single" w:color="C3C8D3" w:sz="1"/>
              <w:right w:val="single" w:color="C3C8D3" w:sz="1"/>
            </w:tcBorders>
            <w:shd w:fill="FFFFFF" w:val="clear"/>
            <w:tcMar>
              <w:top w:type="dxa" w:w="90"/>
              <w:left w:type="dxa" w:w="140"/>
              <w:bottom w:type="dxa" w:w="90"/>
              <w:right w:type="dxa" w:w="140"/>
            </w:tcMar>
          </w:tcPr>
          <w:p>
            <w:r>
              <w:rPr>
                <w:rFonts w:ascii="Calibri" w:cs="Calibri" w:eastAsia="Calibri" w:hAnsi="Calibri"/>
                <w:b w:val="false"/>
                <w:bCs w:val="false"/>
                <w:color w:val="1E2938"/>
                <w:sz w:val="19"/>
                <w:szCs w:val="19"/>
              </w:rPr>
              <w:t xml:space="preserve">Trainers receive relevant inquiries, respond efficiently, and track their conversion performance — all in one panel.</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E38" w:val="clear"/>
            <w:tcMar>
              <w:top w:type="dxa" w:w="300"/>
              <w:left w:type="dxa" w:w="400"/>
              <w:bottom w:type="dxa" w:w="300"/>
              <w:right w:type="dxa" w:w="400"/>
            </w:tcMar>
          </w:tcPr>
          <w:p>
            <w:pPr>
              <w:jc w:val="center"/>
            </w:pPr>
            <w:r>
              <w:rPr>
                <w:rFonts w:ascii="Calibri" w:cs="Calibri" w:eastAsia="Calibri" w:hAnsi="Calibri"/>
                <w:b/>
                <w:bCs/>
                <w:color w:val="E6B000"/>
                <w:sz w:val="36"/>
                <w:szCs w:val="36"/>
              </w:rPr>
              <w:t xml:space="preserve">THE ECOSKILLER TRAINER PROFILE PROMISE</w:t>
            </w:r>
          </w:p>
          <w:p>
            <w:pPr>
              <w:spacing w:before="80" w:after="60"/>
              <w:jc w:val="center"/>
            </w:pPr>
            <w:r>
              <w:rPr>
                <w:rFonts w:ascii="Calibri" w:cs="Calibri" w:eastAsia="Calibri" w:hAnsi="Calibri"/>
                <w:i/>
                <w:iCs/>
                <w:color w:val="FFFFFF"/>
                <w:sz w:val="22"/>
                <w:szCs w:val="22"/>
              </w:rPr>
              <w:t xml:space="preserve">Every field verified. Every claim sourced. Every section designed to build trust — not just fill space.</w:t>
            </w:r>
          </w:p>
          <w:p>
            <w:pPr>
              <w:jc w:val="center"/>
            </w:pPr>
            <w:r>
              <w:rPr>
                <w:rFonts w:ascii="Calibri" w:cs="Calibri" w:eastAsia="Calibri" w:hAnsi="Calibri"/>
                <w:color w:val="AABBEE"/>
                <w:sz w:val="20"/>
                <w:szCs w:val="20"/>
              </w:rPr>
              <w:t xml:space="preserve">12 features · 120+ data points · 4 audience types · One profile that institutes actually trust.</w:t>
            </w:r>
          </w:p>
        </w:tc>
      </w:tr>
    </w:tbl>
    <w:sectPr>
      <w:headerReference w:type="default" r:id="rId6"/>
      <w:footerReference w:type="default" r:id="rId7"/>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C5500" w:sz="4"/>
      </w:pBdr>
      <w:spacing w:before="80"/>
      <w:jc w:val="center"/>
    </w:pPr>
    <w:r>
      <w:rPr>
        <w:rFonts w:ascii="Calibri" w:cs="Calibri" w:eastAsia="Calibri" w:hAnsi="Calibri"/>
        <w:color w:val="888888"/>
        <w:sz w:val="17"/>
        <w:szCs w:val="17"/>
      </w:rPr>
      <w:t xml:space="preserve">Confidential  |  ECOSKILLER Platform  |  Trainer Profile Module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C5500" w:sz="4"/>
      </w:pBdr>
      <w:spacing w:after="80"/>
      <w:jc w:val="right"/>
    </w:pPr>
    <w:r>
      <w:rPr>
        <w:rFonts w:ascii="Calibri" w:cs="Calibri" w:eastAsia="Calibri" w:hAnsi="Calibri"/>
        <w:i/>
        <w:iCs/>
        <w:color w:val="0B1E38"/>
        <w:sz w:val="17"/>
        <w:szCs w:val="17"/>
      </w:rPr>
      <w:t xml:space="preserve">ECOSKILLER  |  Trainer Profile Management — In-Depth Feature Research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2026-03-09T07:47:10.056Z</dcterms:created>
  <dcterms:modified xsi:type="dcterms:W3CDTF">2026-03-09T07:47:10.057Z</dcterms:modified>
</cp:coreProperties>
</file>

<file path=docProps/custom.xml><?xml version="1.0" encoding="utf-8"?>
<Properties xmlns="http://schemas.openxmlformats.org/officeDocument/2006/custom-properties" xmlns:vt="http://schemas.openxmlformats.org/officeDocument/2006/docPropsVTypes"/>
</file>