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0F2D5E"/>
          <w:sz w:val="60"/>
          <w:szCs w:val="60"/>
        </w:rPr>
        <w:t xml:space="preserve">COMMUNITY &amp; SOCIAL</w:t>
      </w:r>
    </w:p>
    <w:p>
      <w:pPr>
        <w:spacing w:after="100"/>
        <w:jc w:val="center"/>
      </w:pPr>
      <w:r>
        <w:rPr>
          <w:rFonts w:ascii="Arial" w:cs="Arial" w:eastAsia="Arial" w:hAnsi="Arial"/>
          <w:color w:val="2563EB"/>
          <w:sz w:val="28"/>
          <w:szCs w:val="28"/>
        </w:rPr>
        <w:t xml:space="preserve">Platform Feature Documentation</w:t>
      </w:r>
    </w:p>
    <w:p>
      <w:pPr>
        <w:spacing w:after="700"/>
        <w:jc w:val="center"/>
      </w:pPr>
      <w:r>
        <w:rPr>
          <w:rFonts w:ascii="Arial" w:cs="Arial" w:eastAsia="Arial" w:hAnsi="Arial"/>
          <w:i/>
          <w:iCs/>
          <w:color w:val="475569"/>
          <w:sz w:val="21"/>
          <w:szCs w:val="21"/>
        </w:rPr>
        <w:t xml:space="preserve">Comprehensive In-Depth Feature Guide for Community Organisers</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none" w:color="FFFFFF" w:sz="0"/>
              <w:left w:val="none" w:color="FFFFFF" w:sz="0"/>
              <w:bottom w:val="none" w:color="FFFFFF" w:sz="0"/>
              <w:right w:val="none" w:color="FFFFFF" w:sz="0"/>
            </w:tcBorders>
            <w:shd w:fill="0F2D5E" w:val="clear"/>
            <w:tcMar>
              <w:top w:type="dxa" w:w="220"/>
              <w:left w:type="dxa" w:w="480"/>
              <w:bottom w:type="dxa" w:w="220"/>
              <w:right w:type="dxa" w:w="480"/>
            </w:tcMar>
          </w:tcPr>
          <w:p>
            <w:pPr>
              <w:jc w:val="center"/>
            </w:pPr>
            <w:r>
              <w:rPr>
                <w:rFonts w:ascii="Arial" w:cs="Arial" w:eastAsia="Arial" w:hAnsi="Arial"/>
                <w:b/>
                <w:bCs/>
                <w:color w:val="FFFFFF"/>
                <w:sz w:val="22"/>
                <w:szCs w:val="22"/>
              </w:rPr>
              <w:t xml:space="preserve">9 Organiser Categories  |  72 In-Depth Features</w:t>
            </w:r>
          </w:p>
        </w:tc>
      </w:tr>
    </w:tbl>
    <w:p>
      <w:pPr>
        <w:spacing w:before="560"/>
        <w:jc w:val="center"/>
      </w:pPr>
      <w:r>
        <w:rPr>
          <w:rFonts w:ascii="Arial" w:cs="Arial" w:eastAsia="Arial" w:hAnsi="Arial"/>
          <w:color w:val="475569"/>
          <w:sz w:val="20"/>
          <w:szCs w:val="20"/>
        </w:rPr>
        <w:t xml:space="preserve">2025 Edition</w:t>
      </w:r>
    </w:p>
    <w:p>
      <w:r>
        <w:br w:type="page"/>
      </w:r>
    </w:p>
    <w:p>
      <w:pPr>
        <w:pBdr>
          <w:bottom w:val="single" w:color="2563EB" w:sz="4"/>
        </w:pBdr>
        <w:spacing w:after="120"/>
      </w:pPr>
      <w:r>
        <w:rPr>
          <w:rFonts w:ascii="Arial" w:cs="Arial" w:eastAsia="Arial" w:hAnsi="Arial"/>
          <w:b/>
          <w:bCs/>
          <w:color w:val="0F2D5E"/>
          <w:sz w:val="34"/>
          <w:szCs w:val="34"/>
        </w:rPr>
        <w:t xml:space="preserve">TABLE OF CONTENTS</w:t>
      </w:r>
    </w:p>
    <w:p>
      <w:pPr>
        <w:spacing w:after="160"/>
      </w:pPr>
    </w:p>
    <w:p>
      <w:pPr>
        <w:spacing w:after="130"/>
      </w:pPr>
      <w:r>
        <w:rPr>
          <w:rFonts w:ascii="Arial" w:cs="Arial" w:eastAsia="Arial" w:hAnsi="Arial"/>
          <w:b/>
          <w:bCs/>
          <w:color w:val="2563EB"/>
          <w:sz w:val="22"/>
          <w:szCs w:val="22"/>
        </w:rPr>
        <w:t xml:space="preserve">01.   </w:t>
      </w:r>
      <w:r>
        <w:rPr>
          <w:rFonts w:ascii="Arial" w:cs="Arial" w:eastAsia="Arial" w:hAnsi="Arial"/>
          <w:color w:val="1E293B"/>
          <w:sz w:val="22"/>
          <w:szCs w:val="22"/>
        </w:rPr>
        <w:t xml:space="preserve">Volunteer Organiser</w:t>
      </w:r>
    </w:p>
    <w:p>
      <w:pPr>
        <w:spacing w:after="130"/>
      </w:pPr>
      <w:r>
        <w:rPr>
          <w:rFonts w:ascii="Arial" w:cs="Arial" w:eastAsia="Arial" w:hAnsi="Arial"/>
          <w:b/>
          <w:bCs/>
          <w:color w:val="2563EB"/>
          <w:sz w:val="22"/>
          <w:szCs w:val="22"/>
        </w:rPr>
        <w:t xml:space="preserve">02.   </w:t>
      </w:r>
      <w:r>
        <w:rPr>
          <w:rFonts w:ascii="Arial" w:cs="Arial" w:eastAsia="Arial" w:hAnsi="Arial"/>
          <w:color w:val="1E293B"/>
          <w:sz w:val="22"/>
          <w:szCs w:val="22"/>
        </w:rPr>
        <w:t xml:space="preserve">Community Hub</w:t>
      </w:r>
    </w:p>
    <w:p>
      <w:pPr>
        <w:spacing w:after="130"/>
      </w:pPr>
      <w:r>
        <w:rPr>
          <w:rFonts w:ascii="Arial" w:cs="Arial" w:eastAsia="Arial" w:hAnsi="Arial"/>
          <w:b/>
          <w:bCs/>
          <w:color w:val="2563EB"/>
          <w:sz w:val="22"/>
          <w:szCs w:val="22"/>
        </w:rPr>
        <w:t xml:space="preserve">03.   </w:t>
      </w:r>
      <w:r>
        <w:rPr>
          <w:rFonts w:ascii="Arial" w:cs="Arial" w:eastAsia="Arial" w:hAnsi="Arial"/>
          <w:color w:val="1E293B"/>
          <w:sz w:val="22"/>
          <w:szCs w:val="22"/>
        </w:rPr>
        <w:t xml:space="preserve">Debate Club</w:t>
      </w:r>
    </w:p>
    <w:p>
      <w:pPr>
        <w:spacing w:after="130"/>
      </w:pPr>
      <w:r>
        <w:rPr>
          <w:rFonts w:ascii="Arial" w:cs="Arial" w:eastAsia="Arial" w:hAnsi="Arial"/>
          <w:b/>
          <w:bCs/>
          <w:color w:val="2563EB"/>
          <w:sz w:val="22"/>
          <w:szCs w:val="22"/>
        </w:rPr>
        <w:t xml:space="preserve">04.   </w:t>
      </w:r>
      <w:r>
        <w:rPr>
          <w:rFonts w:ascii="Arial" w:cs="Arial" w:eastAsia="Arial" w:hAnsi="Arial"/>
          <w:color w:val="1E293B"/>
          <w:sz w:val="22"/>
          <w:szCs w:val="22"/>
        </w:rPr>
        <w:t xml:space="preserve">Book Club Organiser</w:t>
      </w:r>
    </w:p>
    <w:p>
      <w:pPr>
        <w:spacing w:after="130"/>
      </w:pPr>
      <w:r>
        <w:rPr>
          <w:rFonts w:ascii="Arial" w:cs="Arial" w:eastAsia="Arial" w:hAnsi="Arial"/>
          <w:b/>
          <w:bCs/>
          <w:color w:val="2563EB"/>
          <w:sz w:val="22"/>
          <w:szCs w:val="22"/>
        </w:rPr>
        <w:t xml:space="preserve">05.   </w:t>
      </w:r>
      <w:r>
        <w:rPr>
          <w:rFonts w:ascii="Arial" w:cs="Arial" w:eastAsia="Arial" w:hAnsi="Arial"/>
          <w:color w:val="1E293B"/>
          <w:sz w:val="22"/>
          <w:szCs w:val="22"/>
        </w:rPr>
        <w:t xml:space="preserve">Social Impact Organiser</w:t>
      </w:r>
    </w:p>
    <w:p>
      <w:pPr>
        <w:spacing w:after="130"/>
      </w:pPr>
      <w:r>
        <w:rPr>
          <w:rFonts w:ascii="Arial" w:cs="Arial" w:eastAsia="Arial" w:hAnsi="Arial"/>
          <w:b/>
          <w:bCs/>
          <w:color w:val="2563EB"/>
          <w:sz w:val="22"/>
          <w:szCs w:val="22"/>
        </w:rPr>
        <w:t xml:space="preserve">06.   </w:t>
      </w:r>
      <w:r>
        <w:rPr>
          <w:rFonts w:ascii="Arial" w:cs="Arial" w:eastAsia="Arial" w:hAnsi="Arial"/>
          <w:color w:val="1E293B"/>
          <w:sz w:val="22"/>
          <w:szCs w:val="22"/>
        </w:rPr>
        <w:t xml:space="preserve">Networking Organiser</w:t>
      </w:r>
    </w:p>
    <w:p>
      <w:pPr>
        <w:spacing w:after="130"/>
      </w:pPr>
      <w:r>
        <w:rPr>
          <w:rFonts w:ascii="Arial" w:cs="Arial" w:eastAsia="Arial" w:hAnsi="Arial"/>
          <w:b/>
          <w:bCs/>
          <w:color w:val="2563EB"/>
          <w:sz w:val="22"/>
          <w:szCs w:val="22"/>
        </w:rPr>
        <w:t xml:space="preserve">07.   </w:t>
      </w:r>
      <w:r>
        <w:rPr>
          <w:rFonts w:ascii="Arial" w:cs="Arial" w:eastAsia="Arial" w:hAnsi="Arial"/>
          <w:color w:val="1E293B"/>
          <w:sz w:val="22"/>
          <w:szCs w:val="22"/>
        </w:rPr>
        <w:t xml:space="preserve">Gaming Club Organiser</w:t>
      </w:r>
    </w:p>
    <w:p>
      <w:pPr>
        <w:spacing w:after="130"/>
      </w:pPr>
      <w:r>
        <w:rPr>
          <w:rFonts w:ascii="Arial" w:cs="Arial" w:eastAsia="Arial" w:hAnsi="Arial"/>
          <w:b/>
          <w:bCs/>
          <w:color w:val="2563EB"/>
          <w:sz w:val="22"/>
          <w:szCs w:val="22"/>
        </w:rPr>
        <w:t xml:space="preserve">08.   </w:t>
      </w:r>
      <w:r>
        <w:rPr>
          <w:rFonts w:ascii="Arial" w:cs="Arial" w:eastAsia="Arial" w:hAnsi="Arial"/>
          <w:color w:val="1E293B"/>
          <w:sz w:val="22"/>
          <w:szCs w:val="22"/>
        </w:rPr>
        <w:t xml:space="preserve">Cultural Organiser</w:t>
      </w:r>
    </w:p>
    <w:p>
      <w:pPr>
        <w:spacing w:after="130"/>
      </w:pPr>
      <w:r>
        <w:rPr>
          <w:rFonts w:ascii="Arial" w:cs="Arial" w:eastAsia="Arial" w:hAnsi="Arial"/>
          <w:b/>
          <w:bCs/>
          <w:color w:val="2563EB"/>
          <w:sz w:val="22"/>
          <w:szCs w:val="22"/>
        </w:rPr>
        <w:t xml:space="preserve">09.   </w:t>
      </w:r>
      <w:r>
        <w:rPr>
          <w:rFonts w:ascii="Arial" w:cs="Arial" w:eastAsia="Arial" w:hAnsi="Arial"/>
          <w:color w:val="1E293B"/>
          <w:sz w:val="22"/>
          <w:szCs w:val="22"/>
        </w:rPr>
        <w:t xml:space="preserve">Charity Run Organiser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803C"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VOLUNTEER ORGANISER</w:t>
            </w:r>
          </w:p>
          <w:p>
            <w:r>
              <w:rPr>
                <w:rFonts w:ascii="Arial" w:cs="Arial" w:eastAsia="Arial" w:hAnsi="Arial"/>
                <w:i/>
                <w:iCs/>
                <w:color w:val="FFFFFF"/>
                <w:sz w:val="20"/>
                <w:szCs w:val="20"/>
              </w:rPr>
              <w:t xml:space="preserve">Recruit, coordinate, and retain volunteers across causes of all sizes.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CFCE7" w:val="clear"/>
            <w:tcMar>
              <w:top w:type="dxa" w:w="130"/>
              <w:left w:type="dxa" w:w="180"/>
              <w:bottom w:type="dxa" w:w="130"/>
              <w:right w:type="dxa" w:w="180"/>
            </w:tcMar>
            <w:vAlign w:val="center"/>
          </w:tcPr>
          <w:p>
            <w:r>
              <w:rPr>
                <w:rFonts w:ascii="Arial" w:cs="Arial" w:eastAsia="Arial" w:hAnsi="Arial"/>
                <w:b/>
                <w:bCs/>
                <w:color w:val="16803C"/>
                <w:sz w:val="19"/>
                <w:szCs w:val="19"/>
              </w:rPr>
              <w:t xml:space="preserve">Volunteer Recruitment Portal</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Publish open volunteer roles with detailed descriptions, required skills, time commitments, physical requirements, and cause alignment tags. Applicants complete digital intake forms capturing availability, motivation statements, and emergency contacts. Auto-screen applications against role prerequisites and send personalised acknowledgement messages instantly upon submission.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CFCE7" w:val="clear"/>
            <w:tcMar>
              <w:top w:type="dxa" w:w="130"/>
              <w:left w:type="dxa" w:w="180"/>
              <w:bottom w:type="dxa" w:w="130"/>
              <w:right w:type="dxa" w:w="180"/>
            </w:tcMar>
            <w:vAlign w:val="center"/>
          </w:tcPr>
          <w:p>
            <w:r>
              <w:rPr>
                <w:rFonts w:ascii="Arial" w:cs="Arial" w:eastAsia="Arial" w:hAnsi="Arial"/>
                <w:b/>
                <w:bCs/>
                <w:color w:val="16803C"/>
                <w:sz w:val="19"/>
                <w:szCs w:val="19"/>
              </w:rPr>
              <w:t xml:space="preserve">Shift Scheduling &amp; Rostering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Build weekly and one-off shift templates with role types, location pins, supervisor assignments, and minimum headcount requirements. Allow volunteers to self-select available shifts through a mobile-friendly calendar. Auto-fill roster gaps by sending push notifications to eligible, available volunteers when shifts are understaffed.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CFCE7" w:val="clear"/>
            <w:tcMar>
              <w:top w:type="dxa" w:w="130"/>
              <w:left w:type="dxa" w:w="180"/>
              <w:bottom w:type="dxa" w:w="130"/>
              <w:right w:type="dxa" w:w="180"/>
            </w:tcMar>
            <w:vAlign w:val="center"/>
          </w:tcPr>
          <w:p>
            <w:r>
              <w:rPr>
                <w:rFonts w:ascii="Arial" w:cs="Arial" w:eastAsia="Arial" w:hAnsi="Arial"/>
                <w:b/>
                <w:bCs/>
                <w:color w:val="16803C"/>
                <w:sz w:val="19"/>
                <w:szCs w:val="19"/>
              </w:rPr>
              <w:t xml:space="preserve">Skills &amp; Certification Tracking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Maintain a skills database for each volunteer including first aid certification, food handling licences, language proficiencies, driving licences, and specialist technical skills. Set expiry alerts for certifications requiring renewal. Filter the volunteer pool by skill combination when sourcing candidates for specialist tasks or events.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CFCE7" w:val="clear"/>
            <w:tcMar>
              <w:top w:type="dxa" w:w="130"/>
              <w:left w:type="dxa" w:w="180"/>
              <w:bottom w:type="dxa" w:w="130"/>
              <w:right w:type="dxa" w:w="180"/>
            </w:tcMar>
            <w:vAlign w:val="center"/>
          </w:tcPr>
          <w:p>
            <w:r>
              <w:rPr>
                <w:rFonts w:ascii="Arial" w:cs="Arial" w:eastAsia="Arial" w:hAnsi="Arial"/>
                <w:b/>
                <w:bCs/>
                <w:color w:val="16803C"/>
                <w:sz w:val="19"/>
                <w:szCs w:val="19"/>
              </w:rPr>
              <w:t xml:space="preserve">Attendance &amp; Hours Logging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Record volunteer check-in and check-out times via QR code, NFC tag, or manual supervisor sign-off. Accumulate verified hours per volunteer over days, months, and years. Generate official hours letters for volunteers using service records for school, university, or employment applications. Flag habitual late cancellations for coordinator review.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CFCE7" w:val="clear"/>
            <w:tcMar>
              <w:top w:type="dxa" w:w="130"/>
              <w:left w:type="dxa" w:w="180"/>
              <w:bottom w:type="dxa" w:w="130"/>
              <w:right w:type="dxa" w:w="180"/>
            </w:tcMar>
            <w:vAlign w:val="center"/>
          </w:tcPr>
          <w:p>
            <w:r>
              <w:rPr>
                <w:rFonts w:ascii="Arial" w:cs="Arial" w:eastAsia="Arial" w:hAnsi="Arial"/>
                <w:b/>
                <w:bCs/>
                <w:color w:val="16803C"/>
                <w:sz w:val="19"/>
                <w:szCs w:val="19"/>
              </w:rPr>
              <w:t xml:space="preserve">Communication &amp; Briefing Hub</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Send role-specific briefings, pre-event instructions, safety protocols, and parking information to relevant volunteer groups via email, SMS, or in-app push notifications. Build communication templates for recurring event types. Log all sent communications for compliance and record-keeping purposes.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CFCE7" w:val="clear"/>
            <w:tcMar>
              <w:top w:type="dxa" w:w="130"/>
              <w:left w:type="dxa" w:w="180"/>
              <w:bottom w:type="dxa" w:w="130"/>
              <w:right w:type="dxa" w:w="180"/>
            </w:tcMar>
            <w:vAlign w:val="center"/>
          </w:tcPr>
          <w:p>
            <w:r>
              <w:rPr>
                <w:rFonts w:ascii="Arial" w:cs="Arial" w:eastAsia="Arial" w:hAnsi="Arial"/>
                <w:b/>
                <w:bCs/>
                <w:color w:val="16803C"/>
                <w:sz w:val="19"/>
                <w:szCs w:val="19"/>
              </w:rPr>
              <w:t xml:space="preserve">Recognition &amp; Reward System</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Award digital badges, certificates, and milestone trophies when volunteers reach service hour thresholds (e.g. 50, 100, 500 hours). Publish a community leaderboard to celebrate top contributors. Enable peer-to-peer shout-out features where volunteers can nominate colleagues for exceptional service, with coordinator-approved public recognition posts.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CFCE7" w:val="clear"/>
            <w:tcMar>
              <w:top w:type="dxa" w:w="130"/>
              <w:left w:type="dxa" w:w="180"/>
              <w:bottom w:type="dxa" w:w="130"/>
              <w:right w:type="dxa" w:w="180"/>
            </w:tcMar>
            <w:vAlign w:val="center"/>
          </w:tcPr>
          <w:p>
            <w:r>
              <w:rPr>
                <w:rFonts w:ascii="Arial" w:cs="Arial" w:eastAsia="Arial" w:hAnsi="Arial"/>
                <w:b/>
                <w:bCs/>
                <w:color w:val="16803C"/>
                <w:sz w:val="19"/>
                <w:szCs w:val="19"/>
              </w:rPr>
              <w:t xml:space="preserve">Impact Reporting Dashboard</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Quantify volunteer impact through metrics including total hours contributed, monetary equivalent value of service, beneficiaries reached, tasks completed, and geographic coverage. Generate branded impact reports for grant applications, donor briefings, and annual reviews. Export data in CSV, PDF, or presentation-ready formats.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CFCE7" w:val="clear"/>
            <w:tcMar>
              <w:top w:type="dxa" w:w="130"/>
              <w:left w:type="dxa" w:w="180"/>
              <w:bottom w:type="dxa" w:w="130"/>
              <w:right w:type="dxa" w:w="180"/>
            </w:tcMar>
            <w:vAlign w:val="center"/>
          </w:tcPr>
          <w:p>
            <w:r>
              <w:rPr>
                <w:rFonts w:ascii="Arial" w:cs="Arial" w:eastAsia="Arial" w:hAnsi="Arial"/>
                <w:b/>
                <w:bCs/>
                <w:color w:val="16803C"/>
                <w:sz w:val="19"/>
                <w:szCs w:val="19"/>
              </w:rPr>
              <w:t xml:space="preserve">Compliance &amp; Safeguarding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Store DBS check records, reference letters, code of conduct agreements, and signed safeguarding policies against each volunteer profile. Set document expiry reminders and restrict assignment of volunteers to relevant roles until compliance documents are current and verified by a designated safeguarding lead.</w:t>
            </w:r>
          </w:p>
        </w:tc>
      </w:tr>
    </w:tbl>
    <w:p>
      <w:pPr>
        <w:spacing w:after="8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369A1"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COMMUNITY HUB</w:t>
            </w:r>
          </w:p>
          <w:p>
            <w:r>
              <w:rPr>
                <w:rFonts w:ascii="Arial" w:cs="Arial" w:eastAsia="Arial" w:hAnsi="Arial"/>
                <w:i/>
                <w:iCs/>
                <w:color w:val="FFFFFF"/>
                <w:sz w:val="20"/>
                <w:szCs w:val="20"/>
              </w:rPr>
              <w:t xml:space="preserve">The operational backbone of thriving local community spaces.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0F2FE" w:val="clear"/>
            <w:tcMar>
              <w:top w:type="dxa" w:w="130"/>
              <w:left w:type="dxa" w:w="180"/>
              <w:bottom w:type="dxa" w:w="130"/>
              <w:right w:type="dxa" w:w="180"/>
            </w:tcMar>
            <w:vAlign w:val="center"/>
          </w:tcPr>
          <w:p>
            <w:r>
              <w:rPr>
                <w:rFonts w:ascii="Arial" w:cs="Arial" w:eastAsia="Arial" w:hAnsi="Arial"/>
                <w:b/>
                <w:bCs/>
                <w:color w:val="0369A1"/>
                <w:sz w:val="19"/>
                <w:szCs w:val="19"/>
              </w:rPr>
              <w:t xml:space="preserve">Space &amp; Room Booking System</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bookings for all rooms, halls, outdoor areas, and specialist facilities within the hub. Display real-time availability calendars per space. Set pricing tiers for community groups, commercial hirers, and charities. Apply booking rules including advance notice periods, maximum consecutive booking lengths, and capacity enforcement per room.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0F2FE" w:val="clear"/>
            <w:tcMar>
              <w:top w:type="dxa" w:w="130"/>
              <w:left w:type="dxa" w:w="180"/>
              <w:bottom w:type="dxa" w:w="130"/>
              <w:right w:type="dxa" w:w="180"/>
            </w:tcMar>
            <w:vAlign w:val="center"/>
          </w:tcPr>
          <w:p>
            <w:r>
              <w:rPr>
                <w:rFonts w:ascii="Arial" w:cs="Arial" w:eastAsia="Arial" w:hAnsi="Arial"/>
                <w:b/>
                <w:bCs/>
                <w:color w:val="0369A1"/>
                <w:sz w:val="19"/>
                <w:szCs w:val="19"/>
              </w:rPr>
              <w:t xml:space="preserve">Member &amp; Community Register</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Build a searchable community register of members, local organisations, businesses, and service providers. Capture household details, area of residence, membership tier, and communication preferences. Tag members by interest groups (youth, elderly, arts, sports) for targeted programme invitations and community surveys.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0F2FE" w:val="clear"/>
            <w:tcMar>
              <w:top w:type="dxa" w:w="130"/>
              <w:left w:type="dxa" w:w="180"/>
              <w:bottom w:type="dxa" w:w="130"/>
              <w:right w:type="dxa" w:w="180"/>
            </w:tcMar>
            <w:vAlign w:val="center"/>
          </w:tcPr>
          <w:p>
            <w:r>
              <w:rPr>
                <w:rFonts w:ascii="Arial" w:cs="Arial" w:eastAsia="Arial" w:hAnsi="Arial"/>
                <w:b/>
                <w:bCs/>
                <w:color w:val="0369A1"/>
                <w:sz w:val="19"/>
                <w:szCs w:val="19"/>
              </w:rPr>
              <w:t xml:space="preserve">Programme &amp; Events Calendar</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Publish a public-facing community events calendar with category filters, accessibility information, and language options. Manage registrations, waiting lists, and attendance caps for workshops, community meetings, drop-in sessions, and seasonal festivals. Collect post-event feedback to continuously improve programming decisions.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0F2FE" w:val="clear"/>
            <w:tcMar>
              <w:top w:type="dxa" w:w="130"/>
              <w:left w:type="dxa" w:w="180"/>
              <w:bottom w:type="dxa" w:w="130"/>
              <w:right w:type="dxa" w:w="180"/>
            </w:tcMar>
            <w:vAlign w:val="center"/>
          </w:tcPr>
          <w:p>
            <w:r>
              <w:rPr>
                <w:rFonts w:ascii="Arial" w:cs="Arial" w:eastAsia="Arial" w:hAnsi="Arial"/>
                <w:b/>
                <w:bCs/>
                <w:color w:val="0369A1"/>
                <w:sz w:val="19"/>
                <w:szCs w:val="19"/>
              </w:rPr>
              <w:t xml:space="preserve">Partner &amp; Stakeholder CRM</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Maintain relationship records with partner organisations, local government contacts, funders, corporate sponsors, and media contacts. Log meeting notes, email threads, partnership agreements, and grant correspondence in each stakeholder profile. Set follow-up reminders and track partnership value contribution over time.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0F2FE" w:val="clear"/>
            <w:tcMar>
              <w:top w:type="dxa" w:w="130"/>
              <w:left w:type="dxa" w:w="180"/>
              <w:bottom w:type="dxa" w:w="130"/>
              <w:right w:type="dxa" w:w="180"/>
            </w:tcMar>
            <w:vAlign w:val="center"/>
          </w:tcPr>
          <w:p>
            <w:r>
              <w:rPr>
                <w:rFonts w:ascii="Arial" w:cs="Arial" w:eastAsia="Arial" w:hAnsi="Arial"/>
                <w:b/>
                <w:bCs/>
                <w:color w:val="0369A1"/>
                <w:sz w:val="19"/>
                <w:szCs w:val="19"/>
              </w:rPr>
              <w:t xml:space="preserve">Resource &amp; Equipment Library</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Catalogue shared community resources available for loan including tools, audio-visual equipment, sporting goods, arts supplies, and community garden equipment. Manage borrowing requests, loan durations, return tracking, and condition reporting. Charge refundable deposits for high-value items and auto-generate loan agreement documents.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0F2FE" w:val="clear"/>
            <w:tcMar>
              <w:top w:type="dxa" w:w="130"/>
              <w:left w:type="dxa" w:w="180"/>
              <w:bottom w:type="dxa" w:w="130"/>
              <w:right w:type="dxa" w:w="180"/>
            </w:tcMar>
            <w:vAlign w:val="center"/>
          </w:tcPr>
          <w:p>
            <w:r>
              <w:rPr>
                <w:rFonts w:ascii="Arial" w:cs="Arial" w:eastAsia="Arial" w:hAnsi="Arial"/>
                <w:b/>
                <w:bCs/>
                <w:color w:val="0369A1"/>
                <w:sz w:val="19"/>
                <w:szCs w:val="19"/>
              </w:rPr>
              <w:t xml:space="preserve">Noticeboard &amp; Announcements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Publish digital community notices including job opportunities, lost and found items, local services, housing alerts, and emergency information. Moderate content through a staff review workflow before public display. Enable community members to submit their own notices through a moderated self-submission portal accessible via the hub website.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0F2FE" w:val="clear"/>
            <w:tcMar>
              <w:top w:type="dxa" w:w="130"/>
              <w:left w:type="dxa" w:w="180"/>
              <w:bottom w:type="dxa" w:w="130"/>
              <w:right w:type="dxa" w:w="180"/>
            </w:tcMar>
            <w:vAlign w:val="center"/>
          </w:tcPr>
          <w:p>
            <w:r>
              <w:rPr>
                <w:rFonts w:ascii="Arial" w:cs="Arial" w:eastAsia="Arial" w:hAnsi="Arial"/>
                <w:b/>
                <w:bCs/>
                <w:color w:val="0369A1"/>
                <w:sz w:val="19"/>
                <w:szCs w:val="19"/>
              </w:rPr>
              <w:t xml:space="preserve">Grant &amp; Funding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Track all active and prospective funding applications with deadline reminders, required documentation checklists, and reporting obligation calendars. Log funder relationships and communication histories. Generate progress reports with programme statistics and financial summaries in formats aligned to specific funder reporting templates.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0F2FE" w:val="clear"/>
            <w:tcMar>
              <w:top w:type="dxa" w:w="130"/>
              <w:left w:type="dxa" w:w="180"/>
              <w:bottom w:type="dxa" w:w="130"/>
              <w:right w:type="dxa" w:w="180"/>
            </w:tcMar>
            <w:vAlign w:val="center"/>
          </w:tcPr>
          <w:p>
            <w:r>
              <w:rPr>
                <w:rFonts w:ascii="Arial" w:cs="Arial" w:eastAsia="Arial" w:hAnsi="Arial"/>
                <w:b/>
                <w:bCs/>
                <w:color w:val="0369A1"/>
                <w:sz w:val="19"/>
                <w:szCs w:val="19"/>
              </w:rPr>
              <w:t xml:space="preserve">Volunteer &amp; Staff Coordination</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Coordinate a mix of paid staff, regular volunteers, and sessional workers on shared operational rosters. Set role-specific access permissions across the hub management system. Track training completion for mandatory requirements like fire safety, food hygiene, and safeguarding. Manage shift swaps and absence cover through an automated deputy request workflow.</w:t>
            </w:r>
          </w:p>
        </w:tc>
      </w:tr>
    </w:tbl>
    <w:p>
      <w:pPr>
        <w:spacing w:after="8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DEBATE CLUB</w:t>
            </w:r>
          </w:p>
          <w:p>
            <w:r>
              <w:rPr>
                <w:rFonts w:ascii="Arial" w:cs="Arial" w:eastAsia="Arial" w:hAnsi="Arial"/>
                <w:i/>
                <w:iCs/>
                <w:color w:val="FFFFFF"/>
                <w:sz w:val="20"/>
                <w:szCs w:val="20"/>
              </w:rPr>
              <w:t xml:space="preserve">Structure intellectual discourse and develop world-class argumentation skills.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7C3AED"/>
                <w:sz w:val="19"/>
                <w:szCs w:val="19"/>
              </w:rPr>
              <w:t xml:space="preserve">Topic &amp; Motion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Build a searchable archive of debate motions categorised by format (British Parliamentary, Oxford, Lincoln-Douglas, Moot Court), topic area (politics, ethics, science, economics), and difficulty rating. Submit motions for committee review and approval before scheduling. Track motion usage history to ensure diversity and avoid repetition across a programme season.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7C3AED"/>
                <w:sz w:val="19"/>
                <w:szCs w:val="19"/>
              </w:rPr>
              <w:t xml:space="preserve">Event Scheduling &amp; Draw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Schedule debate rounds, practice sessions, socials, and training workshops on a shared club calendar. Generate random or seeded speaker draws for parliamentary rounds. Assign proposition and opposition teams automatically or by manual adjudicator selection. Publish draw sheets to members with role assignments and motion notifications at timed intervals before each round.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7C3AED"/>
                <w:sz w:val="19"/>
                <w:szCs w:val="19"/>
              </w:rPr>
              <w:t xml:space="preserve">Speaker Registration &amp; Profiles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Maintain individual speaker profiles capturing competition history, preferred formats, speaking style tags (analytical, rhetorical, humorous), coaching notes, and partnership preferences. Track progression from novice through to experienced speaker tiers. Allow speakers to indicate topic area interests to assist with personalised practice round matching.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7C3AED"/>
                <w:sz w:val="19"/>
                <w:szCs w:val="19"/>
              </w:rPr>
              <w:t xml:space="preserve">Adjudication &amp; Scoring System</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Issue digital scorecards to adjudicators for speaker points, rank ordering, content, style, and strategy sub-scores. Collect oral feedback summaries alongside numerical scores. Aggregate results automatically to determine round winners and calculate running tournament standings. Archive all scorecards for post-event review and speaker development feedback sessions.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7C3AED"/>
                <w:sz w:val="19"/>
                <w:szCs w:val="19"/>
              </w:rPr>
              <w:t xml:space="preserve">Tournament Hosting Tools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full inter-club tournament logistics including team registrations, accreditation, tab running, room assignments per round, break calculations, and awards ceremony itineraries. Support British Parliamentary, Worlds Schools, and custom formats. Generate official result tabulations, speaker tab exports, and anonymised feedback packs for all participating teams.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7C3AED"/>
                <w:sz w:val="19"/>
                <w:szCs w:val="19"/>
              </w:rPr>
              <w:t xml:space="preserve">Research &amp; Preparation Library</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Host a curated knowledge base of briefing papers, argument frameworks, statistical databases, and case study packs organised by topic area. Allow members to contribute research notes and flag outdated content. Build pre-loaded topic summaries for scheduled motions so speakers can access structured preparation materials through a single platform.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7C3AED"/>
                <w:sz w:val="19"/>
                <w:szCs w:val="19"/>
              </w:rPr>
              <w:t xml:space="preserve">Training Programme Builder</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Design structured training pathways for beginner, intermediate, and advanced speakers covering argumentation theory, rebuttal techniques, point of information strategies, and manner coaching. Assign video lectures, practice tasks, and peer review exercises. Track training module completion and link progress milestones to speaker tier promotion criteria.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7C3AED"/>
                <w:sz w:val="19"/>
                <w:szCs w:val="19"/>
              </w:rPr>
              <w:t xml:space="preserve">Member Engagement &amp; Analytics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Track attendance at sessions, rounds spoken, tournaments entered, speaker points trends, and adjudication rounds completed. Identify members at risk of disengagement through attendance drop alerts. Generate individual development reports for members and parents of junior participants. Celebrate personal bests and first-time tournament wins through automated milestone notifications.</w:t>
            </w:r>
          </w:p>
        </w:tc>
      </w:tr>
    </w:tbl>
    <w:p>
      <w:pPr>
        <w:spacing w:after="8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BOOK CLUB ORGANISER</w:t>
            </w:r>
          </w:p>
          <w:p>
            <w:r>
              <w:rPr>
                <w:rFonts w:ascii="Arial" w:cs="Arial" w:eastAsia="Arial" w:hAnsi="Arial"/>
                <w:i/>
                <w:iCs/>
                <w:color w:val="FFFFFF"/>
                <w:sz w:val="20"/>
                <w:szCs w:val="20"/>
              </w:rPr>
              <w:t xml:space="preserve">Nurture a love of reading and rich literary discussion in every meeting.</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F3C7" w:val="clear"/>
            <w:tcMar>
              <w:top w:type="dxa" w:w="130"/>
              <w:left w:type="dxa" w:w="180"/>
              <w:bottom w:type="dxa" w:w="130"/>
              <w:right w:type="dxa" w:w="180"/>
            </w:tcMar>
            <w:vAlign w:val="center"/>
          </w:tcPr>
          <w:p>
            <w:r>
              <w:rPr>
                <w:rFonts w:ascii="Arial" w:cs="Arial" w:eastAsia="Arial" w:hAnsi="Arial"/>
                <w:b/>
                <w:bCs/>
                <w:color w:val="B45309"/>
                <w:sz w:val="19"/>
                <w:szCs w:val="19"/>
              </w:rPr>
              <w:t xml:space="preserve">Reading Schedule &amp; Selection</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Plan reading schedules months in advance with book title, author, genre, page count, and average reading time estimates displayed alongside each selection. Rotate book selection duties among members using a fair round-robin system. Publish the upcoming reading calendar to a shareable public or members-only page with links to purchase or borrow each title.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F3C7" w:val="clear"/>
            <w:tcMar>
              <w:top w:type="dxa" w:w="130"/>
              <w:left w:type="dxa" w:w="180"/>
              <w:bottom w:type="dxa" w:w="130"/>
              <w:right w:type="dxa" w:w="180"/>
            </w:tcMar>
            <w:vAlign w:val="center"/>
          </w:tcPr>
          <w:p>
            <w:r>
              <w:rPr>
                <w:rFonts w:ascii="Arial" w:cs="Arial" w:eastAsia="Arial" w:hAnsi="Arial"/>
                <w:b/>
                <w:bCs/>
                <w:color w:val="B45309"/>
                <w:sz w:val="19"/>
                <w:szCs w:val="19"/>
              </w:rPr>
              <w:t xml:space="preserve">Democratic Book Voting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Run transparent book selection polls where members nominate titles and vote on shortlists before each reading cycle. Set voting windows, limit nominations per member, and apply tiebreaker rules for draws. Display live vote tallies or reveal results after the voting window closes, depending on the club's preferred selection style and culture.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F3C7" w:val="clear"/>
            <w:tcMar>
              <w:top w:type="dxa" w:w="130"/>
              <w:left w:type="dxa" w:w="180"/>
              <w:bottom w:type="dxa" w:w="130"/>
              <w:right w:type="dxa" w:w="180"/>
            </w:tcMar>
            <w:vAlign w:val="center"/>
          </w:tcPr>
          <w:p>
            <w:r>
              <w:rPr>
                <w:rFonts w:ascii="Arial" w:cs="Arial" w:eastAsia="Arial" w:hAnsi="Arial"/>
                <w:b/>
                <w:bCs/>
                <w:color w:val="B45309"/>
                <w:sz w:val="19"/>
                <w:szCs w:val="19"/>
              </w:rPr>
              <w:t xml:space="preserve">Member Profiles &amp; Reading History</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Build individual reader profiles capturing genre preferences, favourite authors, books read through the club, personal ratings, and a reading wish list. Display each member's reading streak and total books completed as engagement motivators. Allow members to log books read independently outside club selections to enrich their profile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F3C7" w:val="clear"/>
            <w:tcMar>
              <w:top w:type="dxa" w:w="130"/>
              <w:left w:type="dxa" w:w="180"/>
              <w:bottom w:type="dxa" w:w="130"/>
              <w:right w:type="dxa" w:w="180"/>
            </w:tcMar>
            <w:vAlign w:val="center"/>
          </w:tcPr>
          <w:p>
            <w:r>
              <w:rPr>
                <w:rFonts w:ascii="Arial" w:cs="Arial" w:eastAsia="Arial" w:hAnsi="Arial"/>
                <w:b/>
                <w:bCs/>
                <w:color w:val="B45309"/>
                <w:sz w:val="19"/>
                <w:szCs w:val="19"/>
              </w:rPr>
              <w:t xml:space="preserve">Discussion Guide Builder</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Generate or upload structured discussion guides for each book including chapter summaries, author biography, thematic questions, historical context notes, and suggested reading companion texts. Assign discussion facilitation roles to different members for each meeting to build confidence and ensure varied conversational leadership across the group.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F3C7" w:val="clear"/>
            <w:tcMar>
              <w:top w:type="dxa" w:w="130"/>
              <w:left w:type="dxa" w:w="180"/>
              <w:bottom w:type="dxa" w:w="130"/>
              <w:right w:type="dxa" w:w="180"/>
            </w:tcMar>
            <w:vAlign w:val="center"/>
          </w:tcPr>
          <w:p>
            <w:r>
              <w:rPr>
                <w:rFonts w:ascii="Arial" w:cs="Arial" w:eastAsia="Arial" w:hAnsi="Arial"/>
                <w:b/>
                <w:bCs/>
                <w:color w:val="B45309"/>
                <w:sz w:val="19"/>
                <w:szCs w:val="19"/>
              </w:rPr>
              <w:t xml:space="preserve">Meeting Management Tools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Schedule in-person and virtual meeting sessions with venue or video call link, RSVP tracking, and agenda distribution. Record attendance, capture discussion highlights, and store host notes from each meeting in a searchable archive. Send automated pre-meeting reminders with the discussion guide and any preparatory reading notes attached.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F3C7" w:val="clear"/>
            <w:tcMar>
              <w:top w:type="dxa" w:w="130"/>
              <w:left w:type="dxa" w:w="180"/>
              <w:bottom w:type="dxa" w:w="130"/>
              <w:right w:type="dxa" w:w="180"/>
            </w:tcMar>
            <w:vAlign w:val="center"/>
          </w:tcPr>
          <w:p>
            <w:r>
              <w:rPr>
                <w:rFonts w:ascii="Arial" w:cs="Arial" w:eastAsia="Arial" w:hAnsi="Arial"/>
                <w:b/>
                <w:bCs/>
                <w:color w:val="B45309"/>
                <w:sz w:val="19"/>
                <w:szCs w:val="19"/>
              </w:rPr>
              <w:t xml:space="preserve">Reviews &amp; Ratings System</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Collect individual member star ratings and written mini-reviews for each completed book immediately after the meeting. Aggregate ratings into a club score displayed on the book's archive entry. Compare club consensus scores against Goodreads or wider critical reception. Use rating data to refine future book selection criteria based on demonstrated member preferences.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F3C7" w:val="clear"/>
            <w:tcMar>
              <w:top w:type="dxa" w:w="130"/>
              <w:left w:type="dxa" w:w="180"/>
              <w:bottom w:type="dxa" w:w="130"/>
              <w:right w:type="dxa" w:w="180"/>
            </w:tcMar>
            <w:vAlign w:val="center"/>
          </w:tcPr>
          <w:p>
            <w:r>
              <w:rPr>
                <w:rFonts w:ascii="Arial" w:cs="Arial" w:eastAsia="Arial" w:hAnsi="Arial"/>
                <w:b/>
                <w:bCs/>
                <w:color w:val="B45309"/>
                <w:sz w:val="19"/>
                <w:szCs w:val="19"/>
              </w:rPr>
              <w:t xml:space="preserve">Author &amp; Genre Analytics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Analyse the club's reading history by genre distribution, author nationality and gender diversity, publication decade, and average page count. Identify reading gaps or biases and set diversity goals for upcoming selection cycles. Share annual reading summary reports with members highlighting highlights, records broken, and reading statistics for the year.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F3C7" w:val="clear"/>
            <w:tcMar>
              <w:top w:type="dxa" w:w="130"/>
              <w:left w:type="dxa" w:w="180"/>
              <w:bottom w:type="dxa" w:w="130"/>
              <w:right w:type="dxa" w:w="180"/>
            </w:tcMar>
            <w:vAlign w:val="center"/>
          </w:tcPr>
          <w:p>
            <w:r>
              <w:rPr>
                <w:rFonts w:ascii="Arial" w:cs="Arial" w:eastAsia="Arial" w:hAnsi="Arial"/>
                <w:b/>
                <w:bCs/>
                <w:color w:val="B45309"/>
                <w:sz w:val="19"/>
                <w:szCs w:val="19"/>
              </w:rPr>
              <w:t xml:space="preserve">Community &amp; Social Features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Enable an asynchronous discussion thread for each book where members can post observations, quotes, and questions between scheduled meetings. Share book-related articles, adaptations, and podcast recommendations in a club newsfeed. Celebrate milestones such as 100th book completed together, longest reading streak, and fastest reader with community recognition posts.</w:t>
            </w:r>
          </w:p>
        </w:tc>
      </w:tr>
    </w:tbl>
    <w:p>
      <w:pPr>
        <w:spacing w:after="8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SOCIAL IMPACT ORGANISER</w:t>
            </w:r>
          </w:p>
          <w:p>
            <w:r>
              <w:rPr>
                <w:rFonts w:ascii="Arial" w:cs="Arial" w:eastAsia="Arial" w:hAnsi="Arial"/>
                <w:i/>
                <w:iCs/>
                <w:color w:val="FFFFFF"/>
                <w:sz w:val="20"/>
                <w:szCs w:val="20"/>
              </w:rPr>
              <w:t xml:space="preserve">Mobilise communities around causes that create measurable, lasting change.</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1FAE5" w:val="clear"/>
            <w:tcMar>
              <w:top w:type="dxa" w:w="130"/>
              <w:left w:type="dxa" w:w="180"/>
              <w:bottom w:type="dxa" w:w="130"/>
              <w:right w:type="dxa" w:w="180"/>
            </w:tcMar>
            <w:vAlign w:val="center"/>
          </w:tcPr>
          <w:p>
            <w:r>
              <w:rPr>
                <w:rFonts w:ascii="Arial" w:cs="Arial" w:eastAsia="Arial" w:hAnsi="Arial"/>
                <w:b/>
                <w:bCs/>
                <w:color w:val="065F46"/>
                <w:sz w:val="19"/>
                <w:szCs w:val="19"/>
              </w:rPr>
              <w:t xml:space="preserve">Campaign Planning &amp;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Build structured campaign plans with defined objectives, target audiences, key messages, activity timelines, assigned team roles, and success metrics. Visualise campaign progress on a Gantt-style timeline dashboard. Link individual tasks and events to overarching campaign goals so every activity contributes visibly to the stated theory of change.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1FAE5" w:val="clear"/>
            <w:tcMar>
              <w:top w:type="dxa" w:w="130"/>
              <w:left w:type="dxa" w:w="180"/>
              <w:bottom w:type="dxa" w:w="130"/>
              <w:right w:type="dxa" w:w="180"/>
            </w:tcMar>
            <w:vAlign w:val="center"/>
          </w:tcPr>
          <w:p>
            <w:r>
              <w:rPr>
                <w:rFonts w:ascii="Arial" w:cs="Arial" w:eastAsia="Arial" w:hAnsi="Arial"/>
                <w:b/>
                <w:bCs/>
                <w:color w:val="065F46"/>
                <w:sz w:val="19"/>
                <w:szCs w:val="19"/>
              </w:rPr>
              <w:t xml:space="preserve">Stakeholder Mapping &amp; Engagement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Create a stakeholder map categorising individuals and organisations by influence level, interest alignment, engagement status, and relationship owner. Log all engagement touchpoints including meetings, email exchanges, public statements, and co-signings. Set scheduled re-engagement prompts to ensure no key relationship goes cold during long campaign cycles.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1FAE5" w:val="clear"/>
            <w:tcMar>
              <w:top w:type="dxa" w:w="130"/>
              <w:left w:type="dxa" w:w="180"/>
              <w:bottom w:type="dxa" w:w="130"/>
              <w:right w:type="dxa" w:w="180"/>
            </w:tcMar>
            <w:vAlign w:val="center"/>
          </w:tcPr>
          <w:p>
            <w:r>
              <w:rPr>
                <w:rFonts w:ascii="Arial" w:cs="Arial" w:eastAsia="Arial" w:hAnsi="Arial"/>
                <w:b/>
                <w:bCs/>
                <w:color w:val="065F46"/>
                <w:sz w:val="19"/>
                <w:szCs w:val="19"/>
              </w:rPr>
              <w:t xml:space="preserve">Petition &amp; Signature Collection</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Build and publish digital petitions with cause descriptions, supporting evidence, target signatories, and progress counters. Collect verified signatures with opt-in contact details for ongoing campaign updates. Export signatory data for submission to decision-makers with a formatted cover letter and supporting evidence pack generated automatically by the platform.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1FAE5" w:val="clear"/>
            <w:tcMar>
              <w:top w:type="dxa" w:w="130"/>
              <w:left w:type="dxa" w:w="180"/>
              <w:bottom w:type="dxa" w:w="130"/>
              <w:right w:type="dxa" w:w="180"/>
            </w:tcMar>
            <w:vAlign w:val="center"/>
          </w:tcPr>
          <w:p>
            <w:r>
              <w:rPr>
                <w:rFonts w:ascii="Arial" w:cs="Arial" w:eastAsia="Arial" w:hAnsi="Arial"/>
                <w:b/>
                <w:bCs/>
                <w:color w:val="065F46"/>
                <w:sz w:val="19"/>
                <w:szCs w:val="19"/>
              </w:rPr>
              <w:t xml:space="preserve">Event &amp; Action Mobilisation</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Organise community meetings, marches, lobby visits, letter-writing days, and media stunts through a unified event management tool. Assign marshalling roles, distribute briefing packs, and manage attendee logistics. Track attendance against mobilisation targets and measure action completion rates to assess community activation effectiveness.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1FAE5" w:val="clear"/>
            <w:tcMar>
              <w:top w:type="dxa" w:w="130"/>
              <w:left w:type="dxa" w:w="180"/>
              <w:bottom w:type="dxa" w:w="130"/>
              <w:right w:type="dxa" w:w="180"/>
            </w:tcMar>
            <w:vAlign w:val="center"/>
          </w:tcPr>
          <w:p>
            <w:r>
              <w:rPr>
                <w:rFonts w:ascii="Arial" w:cs="Arial" w:eastAsia="Arial" w:hAnsi="Arial"/>
                <w:b/>
                <w:bCs/>
                <w:color w:val="065F46"/>
                <w:sz w:val="19"/>
                <w:szCs w:val="19"/>
              </w:rPr>
              <w:t xml:space="preserve">Impact Measurement Framework</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Define and track a bespoke set of social impact indicators aligned to the UN Sustainable Development Goals, SROI frameworks, or custom organisational metrics. Collect data from field teams via mobile surveys. Visualise impact progress through real-time dashboards and generate evidence-based impact reports suitable for funders, media, and policy audiences.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1FAE5" w:val="clear"/>
            <w:tcMar>
              <w:top w:type="dxa" w:w="130"/>
              <w:left w:type="dxa" w:w="180"/>
              <w:bottom w:type="dxa" w:w="130"/>
              <w:right w:type="dxa" w:w="180"/>
            </w:tcMar>
            <w:vAlign w:val="center"/>
          </w:tcPr>
          <w:p>
            <w:r>
              <w:rPr>
                <w:rFonts w:ascii="Arial" w:cs="Arial" w:eastAsia="Arial" w:hAnsi="Arial"/>
                <w:b/>
                <w:bCs/>
                <w:color w:val="065F46"/>
                <w:sz w:val="19"/>
                <w:szCs w:val="19"/>
              </w:rPr>
              <w:t xml:space="preserve">Media &amp; Communications Toolkit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Store press releases, social media content calendars, key message documents, spokesperson briefings, and brand assets in a centralised communications hub. Schedule social media posts across multiple platforms. Track media coverage mentions and sentiment analysis. Manage journalist and influencer contact lists with relationship notes and outreach logs.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1FAE5" w:val="clear"/>
            <w:tcMar>
              <w:top w:type="dxa" w:w="130"/>
              <w:left w:type="dxa" w:w="180"/>
              <w:bottom w:type="dxa" w:w="130"/>
              <w:right w:type="dxa" w:w="180"/>
            </w:tcMar>
            <w:vAlign w:val="center"/>
          </w:tcPr>
          <w:p>
            <w:r>
              <w:rPr>
                <w:rFonts w:ascii="Arial" w:cs="Arial" w:eastAsia="Arial" w:hAnsi="Arial"/>
                <w:b/>
                <w:bCs/>
                <w:color w:val="065F46"/>
                <w:sz w:val="19"/>
                <w:szCs w:val="19"/>
              </w:rPr>
              <w:t xml:space="preserve">Fundraising &amp; Donation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Run online and offline fundraising campaigns with donor profiles, donation tracking, gift aid declarations, and recurring giving management. Segment donors by giving level and engagement history for tailored stewardship communications. Produce financial summaries and donor impact reports showing exactly how contributions are being translated into campaign activities.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1FAE5" w:val="clear"/>
            <w:tcMar>
              <w:top w:type="dxa" w:w="130"/>
              <w:left w:type="dxa" w:w="180"/>
              <w:bottom w:type="dxa" w:w="130"/>
              <w:right w:type="dxa" w:w="180"/>
            </w:tcMar>
            <w:vAlign w:val="center"/>
          </w:tcPr>
          <w:p>
            <w:r>
              <w:rPr>
                <w:rFonts w:ascii="Arial" w:cs="Arial" w:eastAsia="Arial" w:hAnsi="Arial"/>
                <w:b/>
                <w:bCs/>
                <w:color w:val="065F46"/>
                <w:sz w:val="19"/>
                <w:szCs w:val="19"/>
              </w:rPr>
              <w:t xml:space="preserve">Coalition &amp; Partnership Tools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multi-organisation coalitions with shared campaign spaces, document co-editing, joint communication drafting, and contribution tracking by partner. Assign coalition roles and governance responsibilities. Schedule coalition steering group meetings with automated agendas, minute-taking templates, and decision log archives for full transparency and accountability.</w:t>
            </w:r>
          </w:p>
        </w:tc>
      </w:tr>
    </w:tbl>
    <w:p>
      <w:pPr>
        <w:spacing w:after="8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NETWORKING ORGANISER</w:t>
            </w:r>
          </w:p>
          <w:p>
            <w:r>
              <w:rPr>
                <w:rFonts w:ascii="Arial" w:cs="Arial" w:eastAsia="Arial" w:hAnsi="Arial"/>
                <w:i/>
                <w:iCs/>
                <w:color w:val="FFFFFF"/>
                <w:sz w:val="20"/>
                <w:szCs w:val="20"/>
              </w:rPr>
              <w:t xml:space="preserve">Curate powerful professional connections and high-value networking experiences.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BEAFE" w:val="clear"/>
            <w:tcMar>
              <w:top w:type="dxa" w:w="130"/>
              <w:left w:type="dxa" w:w="180"/>
              <w:bottom w:type="dxa" w:w="130"/>
              <w:right w:type="dxa" w:w="180"/>
            </w:tcMar>
            <w:vAlign w:val="center"/>
          </w:tcPr>
          <w:p>
            <w:r>
              <w:rPr>
                <w:rFonts w:ascii="Arial" w:cs="Arial" w:eastAsia="Arial" w:hAnsi="Arial"/>
                <w:b/>
                <w:bCs/>
                <w:color w:val="1D4ED8"/>
                <w:sz w:val="19"/>
                <w:szCs w:val="19"/>
              </w:rPr>
              <w:t xml:space="preserve">Member Directory &amp; Profiles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Build a rich, searchable professional directory where members showcase their industry, role, expertise areas, career goals, services offered, and connection preferences. Enable profile completeness scoring to encourage full bios. Allow members to display portfolio links, LinkedIn profiles, published articles, and speaking credentials to attract relevant connection requests.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BEAFE" w:val="clear"/>
            <w:tcMar>
              <w:top w:type="dxa" w:w="130"/>
              <w:left w:type="dxa" w:w="180"/>
              <w:bottom w:type="dxa" w:w="130"/>
              <w:right w:type="dxa" w:w="180"/>
            </w:tcMar>
            <w:vAlign w:val="center"/>
          </w:tcPr>
          <w:p>
            <w:r>
              <w:rPr>
                <w:rFonts w:ascii="Arial" w:cs="Arial" w:eastAsia="Arial" w:hAnsi="Arial"/>
                <w:b/>
                <w:bCs/>
                <w:color w:val="1D4ED8"/>
                <w:sz w:val="19"/>
                <w:szCs w:val="19"/>
              </w:rPr>
              <w:t xml:space="preserve">Smart Matchmaking Engine</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Use profile data including industry, seniority, stated goals, and geographic location to generate personalised connection recommendations for each member. Highlight complementary pairings such as founders seeking advisors, or mentors with aligned mentees. Surface fresh matches weekly through automated digest emails showing why each suggested connection is relevant.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BEAFE" w:val="clear"/>
            <w:tcMar>
              <w:top w:type="dxa" w:w="130"/>
              <w:left w:type="dxa" w:w="180"/>
              <w:bottom w:type="dxa" w:w="130"/>
              <w:right w:type="dxa" w:w="180"/>
            </w:tcMar>
            <w:vAlign w:val="center"/>
          </w:tcPr>
          <w:p>
            <w:r>
              <w:rPr>
                <w:rFonts w:ascii="Arial" w:cs="Arial" w:eastAsia="Arial" w:hAnsi="Arial"/>
                <w:b/>
                <w:bCs/>
                <w:color w:val="1D4ED8"/>
                <w:sz w:val="19"/>
                <w:szCs w:val="19"/>
              </w:rPr>
              <w:t xml:space="preserve">Event Registration &amp;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networking breakfasts, industry panels, roundtables, speed-networking sessions, and virtual meetups with branded event pages and RSVP management. Collect attendee topic interests pre-event to enable intelligent table or breakout group assignments. Send post-event follow-up emails with attendee lists and suggested connection prompts within 24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BEAFE" w:val="clear"/>
            <w:tcMar>
              <w:top w:type="dxa" w:w="130"/>
              <w:left w:type="dxa" w:w="180"/>
              <w:bottom w:type="dxa" w:w="130"/>
              <w:right w:type="dxa" w:w="180"/>
            </w:tcMar>
            <w:vAlign w:val="center"/>
          </w:tcPr>
          <w:p>
            <w:r>
              <w:rPr>
                <w:rFonts w:ascii="Arial" w:cs="Arial" w:eastAsia="Arial" w:hAnsi="Arial"/>
                <w:b/>
                <w:bCs/>
                <w:color w:val="1D4ED8"/>
                <w:sz w:val="19"/>
                <w:szCs w:val="19"/>
              </w:rPr>
              <w:t xml:space="preserve">Session &amp; Talk Scheduling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Coordinate speaker sessions, pitch competitions, fireside chats, and panel discussions within networking events using a live session timetable. Manage speaker profiles, presentation uploads, AV requirements, and greenroom logistics. Publish session schedules to event apps and allow attendees to build personalised session agendas for multi-track events.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BEAFE" w:val="clear"/>
            <w:tcMar>
              <w:top w:type="dxa" w:w="130"/>
              <w:left w:type="dxa" w:w="180"/>
              <w:bottom w:type="dxa" w:w="130"/>
              <w:right w:type="dxa" w:w="180"/>
            </w:tcMar>
            <w:vAlign w:val="center"/>
          </w:tcPr>
          <w:p>
            <w:r>
              <w:rPr>
                <w:rFonts w:ascii="Arial" w:cs="Arial" w:eastAsia="Arial" w:hAnsi="Arial"/>
                <w:b/>
                <w:bCs/>
                <w:color w:val="1D4ED8"/>
                <w:sz w:val="19"/>
                <w:szCs w:val="19"/>
              </w:rPr>
              <w:t xml:space="preserve">Connection Tracking &amp; Follow-ups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Allow members to log connections made at events with notes on conversation topics and agreed next steps. Set automated follow-up nudges to remind members to act on post-event commitments. Display connection activity metrics showing how many introductions have been facilitated, meetings booked, and collaboration outcomes reported through the platform.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BEAFE" w:val="clear"/>
            <w:tcMar>
              <w:top w:type="dxa" w:w="130"/>
              <w:left w:type="dxa" w:w="180"/>
              <w:bottom w:type="dxa" w:w="130"/>
              <w:right w:type="dxa" w:w="180"/>
            </w:tcMar>
            <w:vAlign w:val="center"/>
          </w:tcPr>
          <w:p>
            <w:r>
              <w:rPr>
                <w:rFonts w:ascii="Arial" w:cs="Arial" w:eastAsia="Arial" w:hAnsi="Arial"/>
                <w:b/>
                <w:bCs/>
                <w:color w:val="1D4ED8"/>
                <w:sz w:val="19"/>
                <w:szCs w:val="19"/>
              </w:rPr>
              <w:t xml:space="preserve">Mentorship Programme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Operate a structured mentorship programme with matching based on industry alignment, career stage, and development goals. Schedule mentoring session cadences, distribute session preparation prompts, and collect programme feedback at regular checkpoints. Track mentorship pair progression and celebrate completed mentorship cycles with digital recognition for both mentors and mentees.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BEAFE" w:val="clear"/>
            <w:tcMar>
              <w:top w:type="dxa" w:w="130"/>
              <w:left w:type="dxa" w:w="180"/>
              <w:bottom w:type="dxa" w:w="130"/>
              <w:right w:type="dxa" w:w="180"/>
            </w:tcMar>
            <w:vAlign w:val="center"/>
          </w:tcPr>
          <w:p>
            <w:r>
              <w:rPr>
                <w:rFonts w:ascii="Arial" w:cs="Arial" w:eastAsia="Arial" w:hAnsi="Arial"/>
                <w:b/>
                <w:bCs/>
                <w:color w:val="1D4ED8"/>
                <w:sz w:val="19"/>
                <w:szCs w:val="19"/>
              </w:rPr>
              <w:t xml:space="preserve">Sponsor &amp; Partner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event and programme sponsorships with tiered package offerings, sponsor visibility tracking, branded content placement, and post-event ROI reports for sponsor partners. Log sponsor contacts, communication histories, and renewal timelines. Automate sponsor acknowledgement content within event communications and on digital collateral across all networked platforms.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DBEAFE" w:val="clear"/>
            <w:tcMar>
              <w:top w:type="dxa" w:w="130"/>
              <w:left w:type="dxa" w:w="180"/>
              <w:bottom w:type="dxa" w:w="130"/>
              <w:right w:type="dxa" w:w="180"/>
            </w:tcMar>
            <w:vAlign w:val="center"/>
          </w:tcPr>
          <w:p>
            <w:r>
              <w:rPr>
                <w:rFonts w:ascii="Arial" w:cs="Arial" w:eastAsia="Arial" w:hAnsi="Arial"/>
                <w:b/>
                <w:bCs/>
                <w:color w:val="1D4ED8"/>
                <w:sz w:val="19"/>
                <w:szCs w:val="19"/>
              </w:rPr>
              <w:t xml:space="preserve">Engagement Analytics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Track member engagement through metrics including event attendance frequency, connections made, profile views, message response rates, and content interactions. Identify highly engaged members for ambassador or committee roles. Flag disengaged members for targeted re-engagement campaigns. Present quarterly engagement trend reports to steering committees for programme strategy decisions.</w:t>
            </w:r>
          </w:p>
        </w:tc>
      </w:tr>
    </w:tbl>
    <w:p>
      <w:pPr>
        <w:spacing w:after="8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GAMING CLUB ORGANISER</w:t>
            </w:r>
          </w:p>
          <w:p>
            <w:r>
              <w:rPr>
                <w:rFonts w:ascii="Arial" w:cs="Arial" w:eastAsia="Arial" w:hAnsi="Arial"/>
                <w:i/>
                <w:iCs/>
                <w:color w:val="FFFFFF"/>
                <w:sz w:val="20"/>
                <w:szCs w:val="20"/>
              </w:rPr>
              <w:t xml:space="preserve">From casual play sessions to competitive esports — everything under one platform.</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6D28D9"/>
                <w:sz w:val="19"/>
                <w:szCs w:val="19"/>
              </w:rPr>
              <w:t xml:space="preserve">Game Library &amp; Session Catalogue</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Catalogue the club's owned physical and digital game library including board games, tabletop RPGs, video games, and card games. Tag each title by genre, player count, session length, difficulty, and age rating. Members browse the catalogue to request games for upcoming sessions or reserve items for loan. Track condition and maintenance status of physical components.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6D28D9"/>
                <w:sz w:val="19"/>
                <w:szCs w:val="19"/>
              </w:rPr>
              <w:t xml:space="preserve">Session Scheduling &amp; Room Booking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Schedule regular club sessions, one-shot tabletop campaigns, gaming marathons, and themed game nights on a shared calendar. Book physical spaces or reserve Discord servers and gaming platforms for online sessions. Set player caps per game session and manage waitlists. Send session invites with game details, setup instructions, and required equipment lists.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6D28D9"/>
                <w:sz w:val="19"/>
                <w:szCs w:val="19"/>
              </w:rPr>
              <w:t xml:space="preserve">Tournament &amp; League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Run single-elimination, double-elimination, round-robin, and Swiss-format tournaments across any game title. Generate automated brackets and update results in real time. Manage league seasons with points tables, head-to-head records, and playoff qualification tracking. Publish live leaderboards and tournament brackets on a public club page for spectator engagement.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6D28D9"/>
                <w:sz w:val="19"/>
                <w:szCs w:val="19"/>
              </w:rPr>
              <w:t xml:space="preserve">Player Profiles &amp; Achievements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Maintain player profiles showing preferred games, competitive tier, tournament history, win rates, and earned achievement badges. Award custom digital trophies for milestones like first tournament win, longest winning streak, and most sessions attended. Allow players to showcase achievements on their public profile and link to external gaming platform accounts.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6D28D9"/>
                <w:sz w:val="19"/>
                <w:szCs w:val="19"/>
              </w:rPr>
              <w:t xml:space="preserve">Campaign &amp; Narrative Tracking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For tabletop RPG groups, track long-form campaign progress including session logs, character sheets, NPC records, world map notes, and story arc summaries. Assign game master and player roles. Store in-world lore documents, battle maps, and item inventories in a campaign wiki accessible only to the relevant group. Archive completed campaigns as legacy records.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6D28D9"/>
                <w:sz w:val="19"/>
                <w:szCs w:val="19"/>
              </w:rPr>
              <w:t xml:space="preserve">Event &amp; Convention Planning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Organise club attendance at gaming conventions, local expo events, and inter-club challenge days. Manage group ticket purchases, travel coordination, and shared accommodation logistics. Build event packing lists and pre-event briefings. Record club performance and participation highlights from external events to celebrate on the club's social feed and annual report.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6D28D9"/>
                <w:sz w:val="19"/>
                <w:szCs w:val="19"/>
              </w:rPr>
              <w:t xml:space="preserve">Content &amp; Streaming Hub</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the club's streaming and content creation activities including Twitch/YouTube channel schedules, highlight clip archives, VOD libraries, and streamer rosters. Coordinate co-streaming events and club-branded charity streams with donation tracking. Track viewership analytics, subscriber growth, and community engagement metrics across all content platforms.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EDE9FE" w:val="clear"/>
            <w:tcMar>
              <w:top w:type="dxa" w:w="130"/>
              <w:left w:type="dxa" w:w="180"/>
              <w:bottom w:type="dxa" w:w="130"/>
              <w:right w:type="dxa" w:w="180"/>
            </w:tcMar>
            <w:vAlign w:val="center"/>
          </w:tcPr>
          <w:p>
            <w:r>
              <w:rPr>
                <w:rFonts w:ascii="Arial" w:cs="Arial" w:eastAsia="Arial" w:hAnsi="Arial"/>
                <w:b/>
                <w:bCs/>
                <w:color w:val="6D28D9"/>
                <w:sz w:val="19"/>
                <w:szCs w:val="19"/>
              </w:rPr>
              <w:t xml:space="preserve">Community &amp; Communication Tools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Facilitate club communication through integrated announcement boards, game-specific discussion channels, rule query threads, and meme sharing spaces. Moderate content through role-based permissions and a community guidelines enforcement workflow. Conduct member satisfaction polls, game request voting, and committee elections through built-in democratic engagement tools.</w:t>
            </w:r>
          </w:p>
        </w:tc>
      </w:tr>
    </w:tbl>
    <w:p>
      <w:pPr>
        <w:spacing w:after="8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E185D"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CULTURAL ORGANISER</w:t>
            </w:r>
          </w:p>
          <w:p>
            <w:r>
              <w:rPr>
                <w:rFonts w:ascii="Arial" w:cs="Arial" w:eastAsia="Arial" w:hAnsi="Arial"/>
                <w:i/>
                <w:iCs/>
                <w:color w:val="FFFFFF"/>
                <w:sz w:val="20"/>
                <w:szCs w:val="20"/>
              </w:rPr>
              <w:t xml:space="preserve">Celebrate heritage, foster cross-cultural dialogue, and build inclusive communities.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CE7F3" w:val="clear"/>
            <w:tcMar>
              <w:top w:type="dxa" w:w="130"/>
              <w:left w:type="dxa" w:w="180"/>
              <w:bottom w:type="dxa" w:w="130"/>
              <w:right w:type="dxa" w:w="180"/>
            </w:tcMar>
            <w:vAlign w:val="center"/>
          </w:tcPr>
          <w:p>
            <w:r>
              <w:rPr>
                <w:rFonts w:ascii="Arial" w:cs="Arial" w:eastAsia="Arial" w:hAnsi="Arial"/>
                <w:b/>
                <w:bCs/>
                <w:color w:val="BE185D"/>
                <w:sz w:val="19"/>
                <w:szCs w:val="19"/>
              </w:rPr>
              <w:t xml:space="preserve">Event &amp; Festival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Plan cultural festivals, heritage days, film screenings, art exhibitions, food fairs, and diaspora celebrations with detailed event pages including cultural context descriptions, dress code guidance, and accessibility information. Manage vendor and performer applications, stall layouts, stage scheduling, and ticketing through an integrated event operations dashboard for seamless multi-element event delivery.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CE7F3" w:val="clear"/>
            <w:tcMar>
              <w:top w:type="dxa" w:w="130"/>
              <w:left w:type="dxa" w:w="180"/>
              <w:bottom w:type="dxa" w:w="130"/>
              <w:right w:type="dxa" w:w="180"/>
            </w:tcMar>
            <w:vAlign w:val="center"/>
          </w:tcPr>
          <w:p>
            <w:r>
              <w:rPr>
                <w:rFonts w:ascii="Arial" w:cs="Arial" w:eastAsia="Arial" w:hAnsi="Arial"/>
                <w:b/>
                <w:bCs/>
                <w:color w:val="BE185D"/>
                <w:sz w:val="19"/>
                <w:szCs w:val="19"/>
              </w:rPr>
              <w:t xml:space="preserve">Artist &amp; Performer Registry</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Maintain a talent registry of cultural performers, visual artists, musicians, storytellers, traditional craft practitioners, and dancers. Store media portfolios, performance requirements, technical riders, fee expectations, and cultural background notes. Match performers to events by cultural alignment and genre fit. Manage bookings, contracts, and payment processing within the platform.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CE7F3" w:val="clear"/>
            <w:tcMar>
              <w:top w:type="dxa" w:w="130"/>
              <w:left w:type="dxa" w:w="180"/>
              <w:bottom w:type="dxa" w:w="130"/>
              <w:right w:type="dxa" w:w="180"/>
            </w:tcMar>
            <w:vAlign w:val="center"/>
          </w:tcPr>
          <w:p>
            <w:r>
              <w:rPr>
                <w:rFonts w:ascii="Arial" w:cs="Arial" w:eastAsia="Arial" w:hAnsi="Arial"/>
                <w:b/>
                <w:bCs/>
                <w:color w:val="BE185D"/>
                <w:sz w:val="19"/>
                <w:szCs w:val="19"/>
              </w:rPr>
              <w:t xml:space="preserve">Cultural Education Programme</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Schedule workshops, language classes, cooking demonstrations, traditional craft sessions, and history talks with instructor profiles and booking management. Build a cultural education calendar spanning multiple heritage communities. Issue digital certificates of participation to attendees. Archive workshop recordings and supplementary reading materials in a members-accessible cultural learning library.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CE7F3" w:val="clear"/>
            <w:tcMar>
              <w:top w:type="dxa" w:w="130"/>
              <w:left w:type="dxa" w:w="180"/>
              <w:bottom w:type="dxa" w:w="130"/>
              <w:right w:type="dxa" w:w="180"/>
            </w:tcMar>
            <w:vAlign w:val="center"/>
          </w:tcPr>
          <w:p>
            <w:r>
              <w:rPr>
                <w:rFonts w:ascii="Arial" w:cs="Arial" w:eastAsia="Arial" w:hAnsi="Arial"/>
                <w:b/>
                <w:bCs/>
                <w:color w:val="BE185D"/>
                <w:sz w:val="19"/>
                <w:szCs w:val="19"/>
              </w:rPr>
              <w:t xml:space="preserve">Heritage Documentation Vault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Provide a secure digital archive for community-contributed oral history recordings, historical photographs, traditional recipe collections, folk music recordings, textile pattern archives, and genealogical documents. Tag all content by cultural community, era, and geographic origin for intuitive browsing. Manage contributor attribution, copyright notices, and community access permission levels.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CE7F3" w:val="clear"/>
            <w:tcMar>
              <w:top w:type="dxa" w:w="130"/>
              <w:left w:type="dxa" w:w="180"/>
              <w:bottom w:type="dxa" w:w="130"/>
              <w:right w:type="dxa" w:w="180"/>
            </w:tcMar>
            <w:vAlign w:val="center"/>
          </w:tcPr>
          <w:p>
            <w:r>
              <w:rPr>
                <w:rFonts w:ascii="Arial" w:cs="Arial" w:eastAsia="Arial" w:hAnsi="Arial"/>
                <w:b/>
                <w:bCs/>
                <w:color w:val="BE185D"/>
                <w:sz w:val="19"/>
                <w:szCs w:val="19"/>
              </w:rPr>
              <w:t xml:space="preserve">Intercultural Dialogue Forums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Host structured intercultural exchange forums including panel discussions, community listening sessions, and interfaith dialogue events. Assign facilitators with cultural competency profiles. Distribute pre-session context documents to registered participants. Capture discussion summaries and agreed outcomes in archived session reports shared with participants and relevant community stakeholders.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CE7F3" w:val="clear"/>
            <w:tcMar>
              <w:top w:type="dxa" w:w="130"/>
              <w:left w:type="dxa" w:w="180"/>
              <w:bottom w:type="dxa" w:w="130"/>
              <w:right w:type="dxa" w:w="180"/>
            </w:tcMar>
            <w:vAlign w:val="center"/>
          </w:tcPr>
          <w:p>
            <w:r>
              <w:rPr>
                <w:rFonts w:ascii="Arial" w:cs="Arial" w:eastAsia="Arial" w:hAnsi="Arial"/>
                <w:b/>
                <w:bCs/>
                <w:color w:val="BE185D"/>
                <w:sz w:val="19"/>
                <w:szCs w:val="19"/>
              </w:rPr>
              <w:t xml:space="preserve">Multilingual Communications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Compose and send event communications, newsletters, and announcements in multiple languages using integrated translation support. Allow members to set their preferred communication language within their profile. Publish event content and cultural resources in dual or multiple languages. Ensure all platform notifications respect language preferences set at member account level.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CE7F3" w:val="clear"/>
            <w:tcMar>
              <w:top w:type="dxa" w:w="130"/>
              <w:left w:type="dxa" w:w="180"/>
              <w:bottom w:type="dxa" w:w="130"/>
              <w:right w:type="dxa" w:w="180"/>
            </w:tcMar>
            <w:vAlign w:val="center"/>
          </w:tcPr>
          <w:p>
            <w:r>
              <w:rPr>
                <w:rFonts w:ascii="Arial" w:cs="Arial" w:eastAsia="Arial" w:hAnsi="Arial"/>
                <w:b/>
                <w:bCs/>
                <w:color w:val="BE185D"/>
                <w:sz w:val="19"/>
                <w:szCs w:val="19"/>
              </w:rPr>
              <w:t xml:space="preserve">Sponsorship &amp; Grant Tracking</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applications to Arts Council grants, cultural foundation funding, diaspora organisation grants, and corporate cultural sponsorships. Track application deadlines, required evidence, reporting obligations, and payment schedules. Store funder relationship histories and past successful application templates. Generate activity and financial reports in formats aligned to each funder's specific reporting requirements.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CE7F3" w:val="clear"/>
            <w:tcMar>
              <w:top w:type="dxa" w:w="130"/>
              <w:left w:type="dxa" w:w="180"/>
              <w:bottom w:type="dxa" w:w="130"/>
              <w:right w:type="dxa" w:w="180"/>
            </w:tcMar>
            <w:vAlign w:val="center"/>
          </w:tcPr>
          <w:p>
            <w:r>
              <w:rPr>
                <w:rFonts w:ascii="Arial" w:cs="Arial" w:eastAsia="Arial" w:hAnsi="Arial"/>
                <w:b/>
                <w:bCs/>
                <w:color w:val="BE185D"/>
                <w:sz w:val="19"/>
                <w:szCs w:val="19"/>
              </w:rPr>
              <w:t xml:space="preserve">Community Impact &amp; Reach Analytics</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Measure the cultural organisation's community impact through metrics including event attendance by demographic, cultural communities represented, educational programme reach, heritage content archive views, and cross-cultural connection instances. Produce annual community impact reports using visualised data narratives suitable for public dissemination, funder reporting, and media relations purposes.</w:t>
            </w:r>
          </w:p>
        </w:tc>
      </w:tr>
    </w:tbl>
    <w:p>
      <w:pPr>
        <w:spacing w:after="8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260"/>
              <w:left w:type="dxa" w:w="400"/>
              <w:bottom w:type="dxa" w:w="260"/>
              <w:right w:type="dxa" w:w="400"/>
            </w:tcMar>
          </w:tcPr>
          <w:p>
            <w:pPr>
              <w:spacing w:after="60"/>
            </w:pPr>
            <w:r>
              <w:rPr>
                <w:rFonts w:ascii="Arial" w:cs="Arial" w:eastAsia="Arial" w:hAnsi="Arial"/>
                <w:b/>
                <w:bCs/>
                <w:color w:val="FFFFFF"/>
                <w:sz w:val="44"/>
                <w:szCs w:val="44"/>
              </w:rPr>
              <w:t xml:space="preserve">🏃  CHARITY RUN ORGANISER</w:t>
            </w:r>
          </w:p>
          <w:p>
            <w:r>
              <w:rPr>
                <w:rFonts w:ascii="Arial" w:cs="Arial" w:eastAsia="Arial" w:hAnsi="Arial"/>
                <w:i/>
                <w:iCs/>
                <w:color w:val="FFFFFF"/>
                <w:sz w:val="20"/>
                <w:szCs w:val="20"/>
              </w:rPr>
              <w:t xml:space="preserve">From 5K fun runs to full marathons — every step raising funds and awareness.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E2E2" w:val="clear"/>
            <w:tcMar>
              <w:top w:type="dxa" w:w="130"/>
              <w:left w:type="dxa" w:w="180"/>
              <w:bottom w:type="dxa" w:w="130"/>
              <w:right w:type="dxa" w:w="180"/>
            </w:tcMar>
            <w:vAlign w:val="center"/>
          </w:tcPr>
          <w:p>
            <w:r>
              <w:rPr>
                <w:rFonts w:ascii="Arial" w:cs="Arial" w:eastAsia="Arial" w:hAnsi="Arial"/>
                <w:b/>
                <w:bCs/>
                <w:color w:val="B91C1C"/>
                <w:sz w:val="19"/>
                <w:szCs w:val="19"/>
              </w:rPr>
              <w:t xml:space="preserve">Participant Registration System</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race entries with category options including distance, age group, wheelchair participant, and team relay slots. Collect personal bests, medical declarations, emergency contacts, and fundraising page links during registration. Apply early bird pricing, group discount codes, and charity staff free entry allocations. Automatically assign race numbers and send confirmation packs with event day information.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E2E2" w:val="clear"/>
            <w:tcMar>
              <w:top w:type="dxa" w:w="130"/>
              <w:left w:type="dxa" w:w="180"/>
              <w:bottom w:type="dxa" w:w="130"/>
              <w:right w:type="dxa" w:w="180"/>
            </w:tcMar>
            <w:vAlign w:val="center"/>
          </w:tcPr>
          <w:p>
            <w:r>
              <w:rPr>
                <w:rFonts w:ascii="Arial" w:cs="Arial" w:eastAsia="Arial" w:hAnsi="Arial"/>
                <w:b/>
                <w:bCs/>
                <w:color w:val="B91C1C"/>
                <w:sz w:val="19"/>
                <w:szCs w:val="19"/>
              </w:rPr>
              <w:t xml:space="preserve">Fundraising Page Integration</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Automatically generate personalised participant fundraising pages with target amounts, progress bars, donation feeds, and shareable social links. Integrate with JustGiving, Virgin Money Giving, and direct donation processing. Track total funds raised per participant, team, and across the full event. Celebrate milestone achievements with automated fundraising target congratulation messages.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E2E2" w:val="clear"/>
            <w:tcMar>
              <w:top w:type="dxa" w:w="130"/>
              <w:left w:type="dxa" w:w="180"/>
              <w:bottom w:type="dxa" w:w="130"/>
              <w:right w:type="dxa" w:w="180"/>
            </w:tcMar>
            <w:vAlign w:val="center"/>
          </w:tcPr>
          <w:p>
            <w:r>
              <w:rPr>
                <w:rFonts w:ascii="Arial" w:cs="Arial" w:eastAsia="Arial" w:hAnsi="Arial"/>
                <w:b/>
                <w:bCs/>
                <w:color w:val="B91C1C"/>
                <w:sz w:val="19"/>
                <w:szCs w:val="19"/>
              </w:rPr>
              <w:t xml:space="preserve">Route Planning &amp;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Store and publish race routes with interactive maps, elevation profiles, distance markers, water station locations, medical post positions, and photographer placement points. Manage road closure permissions and marshal deployment plans linked to the route map. Share downloadable GPX files with registered participants for pre-race familiarisation and GPS device loading.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E2E2" w:val="clear"/>
            <w:tcMar>
              <w:top w:type="dxa" w:w="130"/>
              <w:left w:type="dxa" w:w="180"/>
              <w:bottom w:type="dxa" w:w="130"/>
              <w:right w:type="dxa" w:w="180"/>
            </w:tcMar>
            <w:vAlign w:val="center"/>
          </w:tcPr>
          <w:p>
            <w:r>
              <w:rPr>
                <w:rFonts w:ascii="Arial" w:cs="Arial" w:eastAsia="Arial" w:hAnsi="Arial"/>
                <w:b/>
                <w:bCs/>
                <w:color w:val="B91C1C"/>
                <w:sz w:val="19"/>
                <w:szCs w:val="19"/>
              </w:rPr>
              <w:t xml:space="preserve">Volunteer &amp; Marshal Coordination</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Recruit and schedule event day volunteers for roles including route marshalling, registration desk, water stations, first aid support, bag storage, and finish line management. Assign specific checkpoint locations with arrival time requirements and responsibility briefs. Send volunteer briefing packs and emergency contact trees 48 hours before the event to every confirmed volunteer.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E2E2" w:val="clear"/>
            <w:tcMar>
              <w:top w:type="dxa" w:w="130"/>
              <w:left w:type="dxa" w:w="180"/>
              <w:bottom w:type="dxa" w:w="130"/>
              <w:right w:type="dxa" w:w="180"/>
            </w:tcMar>
            <w:vAlign w:val="center"/>
          </w:tcPr>
          <w:p>
            <w:r>
              <w:rPr>
                <w:rFonts w:ascii="Arial" w:cs="Arial" w:eastAsia="Arial" w:hAnsi="Arial"/>
                <w:b/>
                <w:bCs/>
                <w:color w:val="B91C1C"/>
                <w:sz w:val="19"/>
                <w:szCs w:val="19"/>
              </w:rPr>
              <w:t xml:space="preserve">Timing &amp; Results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Integrate with chip timing providers or manage manual timing for smaller events. Record gun time and chip time for every finisher by category. Auto-publish live results and category leaderboards during the event through a public results page. Generate official finisher certificates personalised with name, race number, finishing time, and charity message for download post-event.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E2E2" w:val="clear"/>
            <w:tcMar>
              <w:top w:type="dxa" w:w="130"/>
              <w:left w:type="dxa" w:w="180"/>
              <w:bottom w:type="dxa" w:w="130"/>
              <w:right w:type="dxa" w:w="180"/>
            </w:tcMar>
            <w:vAlign w:val="center"/>
          </w:tcPr>
          <w:p>
            <w:r>
              <w:rPr>
                <w:rFonts w:ascii="Arial" w:cs="Arial" w:eastAsia="Arial" w:hAnsi="Arial"/>
                <w:b/>
                <w:bCs/>
                <w:color w:val="B91C1C"/>
                <w:sz w:val="19"/>
                <w:szCs w:val="19"/>
              </w:rPr>
              <w:t xml:space="preserve">Merchandise &amp; Pack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Design and manage participant merchandise including race T-shirts, medals, finisher bags, and branded water bottles. Collect size preferences during registration and produce accurate print and production quantity reports. Organise on-the-day race pack collection with pre-printed name labels and QR code verification to eliminate queuing and ensure accurate distribution to every registered participant.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E2E2" w:val="clear"/>
            <w:tcMar>
              <w:top w:type="dxa" w:w="130"/>
              <w:left w:type="dxa" w:w="180"/>
              <w:bottom w:type="dxa" w:w="130"/>
              <w:right w:type="dxa" w:w="180"/>
            </w:tcMar>
            <w:vAlign w:val="center"/>
          </w:tcPr>
          <w:p>
            <w:r>
              <w:rPr>
                <w:rFonts w:ascii="Arial" w:cs="Arial" w:eastAsia="Arial" w:hAnsi="Arial"/>
                <w:b/>
                <w:bCs/>
                <w:color w:val="B91C1C"/>
                <w:sz w:val="19"/>
                <w:szCs w:val="19"/>
              </w:rPr>
              <w:t xml:space="preserve">Charity Partner Management</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Manage relationships with supported charity beneficiaries including designated fundraising targets, charity representative contacts, agreed branding usage, and post-event fund disbursement timelines. Provide each charity partner with a live fundraising dashboard showing real-time income raised in their name. Generate post-event charity impact reports showing total funds raised and beneficiary outcomes supported.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6880"/>
      </w:tblGrid>
      <w:tr>
        <w:tc>
          <w:tcPr>
            <w:tcW w:type="dxa" w:w="2480"/>
            <w:tcBorders>
              <w:top w:val="single" w:color="CBD5E1" w:sz="1"/>
              <w:left w:val="single" w:color="CBD5E1" w:sz="1"/>
              <w:bottom w:val="single" w:color="CBD5E1" w:sz="1"/>
              <w:right w:val="single" w:color="CBD5E1" w:sz="1"/>
            </w:tcBorders>
            <w:shd w:fill="FEE2E2" w:val="clear"/>
            <w:tcMar>
              <w:top w:type="dxa" w:w="130"/>
              <w:left w:type="dxa" w:w="180"/>
              <w:bottom w:type="dxa" w:w="130"/>
              <w:right w:type="dxa" w:w="180"/>
            </w:tcMar>
            <w:vAlign w:val="center"/>
          </w:tcPr>
          <w:p>
            <w:r>
              <w:rPr>
                <w:rFonts w:ascii="Arial" w:cs="Arial" w:eastAsia="Arial" w:hAnsi="Arial"/>
                <w:b/>
                <w:bCs/>
                <w:color w:val="B91C1C"/>
                <w:sz w:val="19"/>
                <w:szCs w:val="19"/>
              </w:rPr>
              <w:t xml:space="preserve">Post-Event Engagement &amp; Retention</w:t>
            </w:r>
          </w:p>
        </w:tc>
        <w:tc>
          <w:tcPr>
            <w:tcW w:type="dxa" w:w="6880"/>
            <w:tcBorders>
              <w:top w:val="single" w:color="CBD5E1" w:sz="1"/>
              <w:left w:val="single" w:color="CBD5E1" w:sz="1"/>
              <w:bottom w:val="single" w:color="CBD5E1" w:sz="1"/>
              <w:right w:val="single" w:color="CBD5E1" w:sz="1"/>
            </w:tcBorders>
            <w:tcMar>
              <w:top w:type="dxa" w:w="130"/>
              <w:left w:type="dxa" w:w="180"/>
              <w:bottom w:type="dxa" w:w="130"/>
              <w:right w:type="dxa" w:w="180"/>
            </w:tcMar>
          </w:tcPr>
          <w:p>
            <w:r>
              <w:rPr>
                <w:rFonts w:ascii="Arial" w:cs="Arial" w:eastAsia="Arial" w:hAnsi="Arial"/>
                <w:color w:val="1E293B"/>
                <w:sz w:val="19"/>
                <w:szCs w:val="19"/>
              </w:rPr>
              <w:t xml:space="preserve">Send personalised post-event emails with finishing time, fundraising total, event photos, and a thank you message from the charity within 24 hours of the event. Publish an event highlights report with total participation data, community impact statement, and funds raised. Launch early-bird registration for the next event within the post-race communication to capitalise on participant enthusiasm and maximise year-on-year retention rates.</w:t>
            </w:r>
          </w:p>
        </w:tc>
      </w:tr>
    </w:tbl>
    <w:p>
      <w:pPr>
        <w:spacing w:after="80"/>
      </w:pPr>
    </w:p>
    <w:p>
      <w:pPr>
        <w:spacing w:after="24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94A3B8"/>
        <w:sz w:val="16"/>
        <w:szCs w:val="16"/>
      </w:rPr>
      <w:t xml:space="preserve">© 2025 Platform Documentation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pPr>
    <w:r>
      <w:rPr>
        <w:rFonts w:ascii="Arial" w:cs="Arial" w:eastAsia="Arial" w:hAnsi="Arial"/>
        <w:color w:val="94A3B8"/>
        <w:sz w:val="16"/>
        <w:szCs w:val="16"/>
      </w:rPr>
      <w:t xml:space="preserve">Community &amp; Social — Platform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F2D5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2026-03-09T13:07:58.087Z</dcterms:created>
  <dcterms:modified xsi:type="dcterms:W3CDTF">2026-03-09T13:07:58.088Z</dcterms:modified>
</cp:coreProperties>
</file>

<file path=docProps/custom.xml><?xml version="1.0" encoding="utf-8"?>
<Properties xmlns="http://schemas.openxmlformats.org/officeDocument/2006/custom-properties" xmlns:vt="http://schemas.openxmlformats.org/officeDocument/2006/docPropsVTypes"/>
</file>