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56"/>
        </w:rPr>
        <w:t>BELT-ELIGIBILITY-SERVICE</w:t>
      </w:r>
    </w:p>
    <w:p>
      <w:pPr>
        <w:jc w:val="center"/>
      </w:pPr>
      <w:r>
        <w:rPr>
          <w:i/>
          <w:color w:val="404040"/>
          <w:sz w:val="28"/>
        </w:rPr>
        <w:t>Technical Architecture &amp; API Documentation</w:t>
      </w:r>
    </w:p>
    <w:p/>
    <w:p/>
    <w:p>
      <w:pPr>
        <w:jc w:val="center"/>
      </w:pPr>
      <w:r>
        <w:rPr>
          <w:sz w:val="20"/>
        </w:rPr>
        <w:t>Generated: March 10, 2026</w:t>
      </w:r>
    </w:p>
    <w:p>
      <w:pPr>
        <w:jc w:val="center"/>
      </w:pPr>
      <w:r>
        <w:rPr>
          <w:b/>
          <w:sz w:val="22"/>
        </w:rPr>
        <w:t>Ecoskiller AI-Powered Talent Assessment Platform</w:t>
      </w:r>
    </w:p>
    <w:p>
      <w:r>
        <w:br w:type="page"/>
      </w:r>
    </w:p>
    <w:p>
      <w:pPr>
        <w:pStyle w:val="Heading1"/>
      </w:pPr>
      <w:r>
        <w:t>Table of Contents</w:t>
      </w:r>
    </w:p>
    <w:p>
      <w:pPr>
        <w:pStyle w:val="ListNumber"/>
        <w:ind w:left="360"/>
      </w:pPr>
      <w:r>
        <w:t>1. Service Name &amp; Introduction</w:t>
      </w:r>
    </w:p>
    <w:p>
      <w:pPr>
        <w:pStyle w:val="ListNumber"/>
        <w:ind w:left="360"/>
      </w:pPr>
      <w:r>
        <w:t>2. Service Overview</w:t>
      </w:r>
    </w:p>
    <w:p>
      <w:pPr>
        <w:pStyle w:val="ListNumber"/>
        <w:ind w:left="360"/>
      </w:pPr>
      <w:r>
        <w:t>3. Core Responsibilities</w:t>
      </w:r>
    </w:p>
    <w:p>
      <w:pPr>
        <w:pStyle w:val="ListNumber"/>
        <w:ind w:left="360"/>
      </w:pPr>
      <w:r>
        <w:t>4. Key Features</w:t>
      </w:r>
    </w:p>
    <w:p>
      <w:pPr>
        <w:pStyle w:val="ListNumber"/>
        <w:ind w:left="360"/>
      </w:pPr>
      <w:r>
        <w:t>5. Input Specifications</w:t>
      </w:r>
    </w:p>
    <w:p>
      <w:pPr>
        <w:pStyle w:val="ListNumber"/>
        <w:ind w:left="360"/>
      </w:pPr>
      <w:r>
        <w:t>6. Output Specifications</w:t>
      </w:r>
    </w:p>
    <w:p>
      <w:pPr>
        <w:pStyle w:val="ListNumber"/>
        <w:ind w:left="360"/>
      </w:pPr>
      <w:r>
        <w:t>7. Service Dependencies</w:t>
      </w:r>
    </w:p>
    <w:p>
      <w:pPr>
        <w:pStyle w:val="ListNumber"/>
        <w:ind w:left="360"/>
      </w:pPr>
      <w:r>
        <w:t>8. Technology Stack</w:t>
      </w:r>
    </w:p>
    <w:p>
      <w:pPr>
        <w:pStyle w:val="ListNumber"/>
        <w:ind w:left="360"/>
      </w:pPr>
      <w:r>
        <w:t>9. Business Value &amp; Impact</w:t>
      </w:r>
    </w:p>
    <w:p>
      <w:pPr>
        <w:pStyle w:val="ListNumber"/>
        <w:ind w:left="360"/>
      </w:pPr>
      <w:r>
        <w:t>10. Deployment &amp; Configuration</w:t>
      </w:r>
    </w:p>
    <w:p>
      <w:pPr>
        <w:pStyle w:val="ListNumber"/>
        <w:ind w:left="360"/>
      </w:pPr>
      <w:r>
        <w:t>11. API Reference</w:t>
      </w:r>
    </w:p>
    <w:p>
      <w:pPr>
        <w:pStyle w:val="ListNumber"/>
        <w:ind w:left="360"/>
      </w:pPr>
      <w:r>
        <w:t>12. Data Flow &amp; Architecture</w:t>
      </w:r>
    </w:p>
    <w:p>
      <w:pPr>
        <w:pStyle w:val="ListNumber"/>
        <w:ind w:left="360"/>
      </w:pPr>
      <w:r>
        <w:t>13. Error Handling &amp; Resilience</w:t>
      </w:r>
    </w:p>
    <w:p>
      <w:pPr>
        <w:pStyle w:val="ListNumber"/>
        <w:ind w:left="360"/>
      </w:pPr>
      <w:r>
        <w:t>14. Monitoring &amp; Observability</w:t>
      </w:r>
    </w:p>
    <w:p>
      <w:pPr>
        <w:pStyle w:val="ListNumber"/>
        <w:ind w:left="360"/>
      </w:pPr>
      <w:r>
        <w:t>15. Security Considerations</w:t>
      </w:r>
    </w:p>
    <w:p>
      <w:r>
        <w:br w:type="page"/>
      </w:r>
    </w:p>
    <w:p>
      <w:pPr>
        <w:pStyle w:val="Heading1"/>
      </w:pPr>
      <w:r>
        <w:t>1. Service Name &amp; Introduction</w:t>
      </w:r>
    </w:p>
    <w:p>
      <w:pPr>
        <w:pStyle w:val="Heading2"/>
      </w:pPr>
      <w:r>
        <w:t>1.1 Service Identity</w:t>
      </w:r>
    </w:p>
    <w:p>
      <w:r>
        <w:rPr>
          <w:b/>
        </w:rPr>
        <w:t xml:space="preserve">Service Name: </w:t>
      </w:r>
      <w:r>
        <w:t>belt-eligibility-service</w:t>
      </w:r>
    </w:p>
    <w:p>
      <w:pPr>
        <w:spacing w:line="360" w:lineRule="auto"/>
      </w:pPr>
      <w:r>
        <w:t>The belt-eligibility-service is a critical microservice within the Ecoskiller talent assessment platform that evaluates candidate eligibility for belt level promotions based on multi-dimensional scoring criteria. Operating within an event-driven microservices architecture, this service consumes assessment outcomes from group discussions, interviews, and coding challenges, then applies sophisticated eligibility algorithms to determine which candidates qualify for the next belt tier in their career progression.</w:t>
      </w:r>
    </w:p>
    <w:p>
      <w:pPr>
        <w:pStyle w:val="Heading2"/>
      </w:pPr>
      <w:r>
        <w:t>1.2 Platform Context</w:t>
      </w:r>
    </w:p>
    <w:p>
      <w:pPr>
        <w:spacing w:line="360" w:lineRule="auto"/>
      </w:pPr>
      <w:r>
        <w:t>Ecoskiller is a next-generation AI-powered hiring and talent assessment platform designed for enterprise recruiters and job candidates. It replaces traditional hiring processes with structured, data-driven evaluations across multiple assessment formats: live group discussions, one-on-one interviews, coding challenges, and AI-scored competency tests. The belt-eligibility-service sits at the intersection of assessment execution and career progression, translating raw scoring data into actionable career advancement decisions.</w:t>
      </w:r>
    </w:p>
    <w:p>
      <w:pPr>
        <w:pStyle w:val="Heading1"/>
      </w:pPr>
      <w:r>
        <w:t>2. Service Overview</w:t>
      </w:r>
    </w:p>
    <w:p>
      <w:pPr>
        <w:pStyle w:val="Heading2"/>
      </w:pPr>
      <w:r>
        <w:t>2.1 Purpose &amp; Role</w:t>
      </w:r>
    </w:p>
    <w:p>
      <w:pPr>
        <w:spacing w:line="360" w:lineRule="auto"/>
      </w:pPr>
      <w:r>
        <w:t>The belt-eligibility-service determines when candidates have achieved sufficient competency across technical, behavioral, and communication dimensions to advance to the next belt level. Unlike manual hiring decisions that rely on subjective judgment, this service provides objective, criteria-based eligibility assessment. It integrates with the Certification Engine to issue digital belts and initiate mentor confirmation workflows for senior-level promotions.</w:t>
      </w:r>
    </w:p>
    <w:p>
      <w:pPr>
        <w:pStyle w:val="Heading2"/>
      </w:pPr>
      <w:r>
        <w:t>2.2 Position in Architecture</w:t>
      </w:r>
    </w:p>
    <w:p>
      <w:pPr>
        <w:spacing w:line="360" w:lineRule="auto"/>
      </w:pPr>
      <w:r>
        <w:t>Within the Ecoskiller event-driven microservices architecture running on Kubernetes across multi-cloud infrastructure (GCP + AWS), the belt-eligibility-service occupies the analytics namespace. It consumes Kafka events from the scoring-engine (match.scored events) and maintains state in PostgreSQL with multi-tenant row-level security (RLS). The service operates synchronously on HTTP POST requests from the scoring-engine and asynchronously via Kafka event consumption, providing both immediate feedback and batch eligibility assessment.</w:t>
      </w:r>
    </w:p>
    <w:p>
      <w:pPr>
        <w:pStyle w:val="Heading2"/>
      </w:pPr>
      <w:r>
        <w:t>2.3 Service Classification</w:t>
      </w:r>
    </w:p>
    <w:p>
      <w:r>
        <w:rPr>
          <w:b/>
        </w:rPr>
        <w:t xml:space="preserve">Type: </w:t>
      </w:r>
      <w:r>
        <w:t>Business Logic Microservice</w:t>
        <w:br/>
      </w:r>
      <w:r>
        <w:rPr>
          <w:b/>
        </w:rPr>
        <w:t xml:space="preserve">Namespace: </w:t>
      </w:r>
      <w:r>
        <w:t>analytics</w:t>
        <w:br/>
      </w:r>
      <w:r>
        <w:rPr>
          <w:b/>
        </w:rPr>
        <w:t xml:space="preserve">Tier: </w:t>
      </w:r>
      <w:r>
        <w:t>Tier 2 (High Priority)</w:t>
        <w:br/>
      </w:r>
      <w:r>
        <w:rPr>
          <w:b/>
        </w:rPr>
        <w:t xml:space="preserve">Language: </w:t>
      </w:r>
      <w:r>
        <w:t>Node.js (TypeScript)</w:t>
        <w:br/>
      </w:r>
      <w:r>
        <w:rPr>
          <w:b/>
        </w:rPr>
        <w:t xml:space="preserve">Container: </w:t>
      </w:r>
      <w:r>
        <w:t>ecoskiller/belt-eligibility-service:latest</w:t>
        <w:br/>
      </w:r>
      <w:r>
        <w:rPr>
          <w:b/>
        </w:rPr>
        <w:t xml:space="preserve">Protocol: </w:t>
      </w:r>
      <w:r>
        <w:t>HTTPS REST API + Kafka Consumer</w:t>
      </w:r>
    </w:p>
    <w:p>
      <w:pPr>
        <w:pStyle w:val="Heading1"/>
      </w:pPr>
      <w:r>
        <w:t>3. Core Responsibilities</w:t>
      </w:r>
    </w:p>
    <w:p>
      <w:pPr>
        <w:pStyle w:val="Heading2"/>
      </w:pPr>
      <w:r>
        <w:t>3.1 Primary Responsibilities</w:t>
      </w:r>
    </w:p>
    <w:p>
      <w:pPr>
        <w:pStyle w:val="Heading3"/>
      </w:pPr>
      <w:r>
        <w:t>3.1.1 Score Aggregation &amp; Normalization</w:t>
      </w:r>
    </w:p>
    <w:p>
      <w:pPr>
        <w:spacing w:line="360" w:lineRule="auto"/>
      </w:pPr>
      <w:r>
        <w:t>Aggregate raw scores from multiple assessment types (GD, interview, coding, test) and normalize them to a common 0-100 scale using configurable weighting algorithms that account for assessment difficulty and reliability metrics.</w:t>
      </w:r>
    </w:p>
    <w:p>
      <w:pPr>
        <w:pStyle w:val="Heading3"/>
      </w:pPr>
      <w:r>
        <w:t>3.1.2 Multi-Dimensional Competency Assessment</w:t>
      </w:r>
    </w:p>
    <w:p>
      <w:pPr>
        <w:spacing w:line="360" w:lineRule="auto"/>
      </w:pPr>
      <w:r>
        <w:t>Evaluate candidate performance across eight competency dimensions: Technical Depth, Communication Skills, Leadership Potential, Problem-Solving Ability, Collaboration, Adaptability, Domain Knowledge, and Innovation Mindset.</w:t>
      </w:r>
    </w:p>
    <w:p>
      <w:pPr>
        <w:pStyle w:val="Heading3"/>
      </w:pPr>
      <w:r>
        <w:t>3.1.3 Belt Level Determination</w:t>
      </w:r>
    </w:p>
    <w:p>
      <w:pPr>
        <w:spacing w:line="360" w:lineRule="auto"/>
      </w:pPr>
      <w:r>
        <w:t>Apply tiered eligibility rules to determine belt level advancement: White (0-30), Yellow (31-45), Green (46-60), Blue (61-75), Brown (76-85), Black (86-95), and Master (96-100). Rules consider minimum assessment count, temporal consistency, and peer-relative performance.</w:t>
      </w:r>
    </w:p>
    <w:p>
      <w:pPr>
        <w:pStyle w:val="Heading3"/>
      </w:pPr>
      <w:r>
        <w:t>3.1.4 Mentor Confirmation Triggering</w:t>
      </w:r>
    </w:p>
    <w:p>
      <w:pPr>
        <w:spacing w:line="360" w:lineRule="auto"/>
      </w:pPr>
      <w:r>
        <w:t>For candidates advancing to Black or Master levels, publish Kafka events to notify the certification-engine, which coordinates mentor review before final belt issuance. Maintain audit trail of all eligibility decisions.</w:t>
      </w:r>
    </w:p>
    <w:p>
      <w:pPr>
        <w:pStyle w:val="Heading3"/>
      </w:pPr>
      <w:r>
        <w:t>3.1.5 Retroactive Eligibility Review</w:t>
      </w:r>
    </w:p>
    <w:p>
      <w:pPr>
        <w:spacing w:line="360" w:lineRule="auto"/>
      </w:pPr>
      <w:r>
        <w:t>Periodically re-evaluate candidate eligibility when assessment methodologies are updated or scoring anomalies are detected. Provide APIs for admin-triggered eligibility re-assessment to correct historical decisions.</w:t>
      </w:r>
    </w:p>
    <w:p>
      <w:pPr>
        <w:pStyle w:val="Heading3"/>
      </w:pPr>
      <w:r>
        <w:t>3.1.6 Tenant-Scoped Multi-Tenancy</w:t>
      </w:r>
    </w:p>
    <w:p>
      <w:pPr>
        <w:spacing w:line="360" w:lineRule="auto"/>
      </w:pPr>
      <w:r>
        <w:t>Enforce row-level security (RLS) via PostgreSQL tenant_id isolation. No candidate from one tenant can influence eligibility calculations for candidates from another tenant, ensuring complete data isolation in a multi-tenant SaaS platform.</w:t>
      </w:r>
    </w:p>
    <w:p>
      <w:pPr>
        <w:pStyle w:val="Heading1"/>
      </w:pPr>
      <w:r>
        <w:t>4. Key Features</w:t>
      </w:r>
    </w:p>
    <w:p>
      <w:pPr>
        <w:pStyle w:val="Heading2"/>
      </w:pPr>
      <w:r>
        <w:t>4.1 Weighted Scoring Algorithm</w:t>
      </w:r>
    </w:p>
    <w:p>
      <w:pPr>
        <w:spacing w:line="360" w:lineRule="auto"/>
      </w:pPr>
      <w:r>
        <w:t>Implements configurable weighted averages across multiple assessment types. Default weights: Group Discussion (35%), Interview (40%), Coding Challenge (20%), Competency Test (5%). Weights are tenant-configurable via the admin API, enabling custom hiring criteria per organization.</w:t>
      </w:r>
    </w:p>
    <w:p>
      <w:pPr>
        <w:pStyle w:val="Heading2"/>
      </w:pPr>
      <w:r>
        <w:t>4.2 Dynamic Belt Thresholds</w:t>
      </w:r>
    </w:p>
    <w:p>
      <w:pPr>
        <w:spacing w:line="360" w:lineRule="auto"/>
      </w:pPr>
      <w:r>
        <w:t>Belt advancement thresholds are not static. They adapt based on cohort performance distribution and market data. For instance, if 80% of candidates score &gt; 60, the Green belt threshold may shift to 65 to maintain talent differentiation. Thresholds are recalculated monthly via an Airflow job.</w:t>
      </w:r>
    </w:p>
    <w:p>
      <w:pPr>
        <w:pStyle w:val="Heading2"/>
      </w:pPr>
      <w:r>
        <w:t>4.3 Temporal Consistency Checks</w:t>
      </w:r>
    </w:p>
    <w:p>
      <w:pPr>
        <w:spacing w:line="360" w:lineRule="auto"/>
      </w:pPr>
      <w:r>
        <w:t>Prevents "lucky streak" promotions. Requires that a candidate maintain consistent high performance across multiple assessment sessions separated by at least 7 days. A single exceptional score is insufficient for belt advancement—consistency is mandatory.</w:t>
      </w:r>
    </w:p>
    <w:p>
      <w:pPr>
        <w:pStyle w:val="Heading2"/>
      </w:pPr>
      <w:r>
        <w:t>4.4 Peer-Relative Ranking</w:t>
      </w:r>
    </w:p>
    <w:p>
      <w:pPr>
        <w:spacing w:line="360" w:lineRule="auto"/>
      </w:pPr>
      <w:r>
        <w:t>Tracks candidate percentile rank within their cohort. Advancement to Black and Master belts requires that a candidate be in the top 15% and top 5% of their cohort, respectively, ensuring belts remain prestigious and meaningful in the job market.</w:t>
      </w:r>
    </w:p>
    <w:p>
      <w:pPr>
        <w:pStyle w:val="Heading2"/>
      </w:pPr>
      <w:r>
        <w:t>4.5 Blind Scoring Mode</w:t>
      </w:r>
    </w:p>
    <w:p>
      <w:pPr>
        <w:spacing w:line="360" w:lineRule="auto"/>
      </w:pPr>
      <w:r>
        <w:t>Supports anonymous assessment where candidate identity is hidden from assessors. The service detects assessor bias by comparing blind vs. identified scores and flags outliers for human review, improving assessment fairness.</w:t>
      </w:r>
    </w:p>
    <w:p>
      <w:pPr>
        <w:pStyle w:val="Heading2"/>
      </w:pPr>
      <w:r>
        <w:t>4.6 Real-Time Eligibility Feedback</w:t>
      </w:r>
    </w:p>
    <w:p>
      <w:pPr>
        <w:spacing w:line="360" w:lineRule="auto"/>
      </w:pPr>
      <w:r>
        <w:t>Provides instant feedback to candidates and recruiters via WebSocket after assessment completion: "You are 5 points away from Yellow belt eligibility. Focus on technical depth for your next attempt." This motivational feedback drives engagement and improvement.</w:t>
      </w:r>
    </w:p>
    <w:p>
      <w:pPr>
        <w:pStyle w:val="Heading1"/>
      </w:pPr>
      <w:r>
        <w:t>5. Input Specifications</w:t>
      </w:r>
    </w:p>
    <w:p>
      <w:pPr>
        <w:pStyle w:val="Heading2"/>
      </w:pPr>
      <w:r>
        <w:t>5.1 Kafka Event Inputs</w:t>
      </w:r>
    </w:p>
    <w:p>
      <w:pPr>
        <w:spacing w:line="360" w:lineRule="auto"/>
      </w:pPr>
      <w:r>
        <w:t>The service consumes Kafka events from the scoring-engine. The primary event is match.scored, published whenever a candidate completes an assessment.</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D3D3D3"/>
          </w:tcPr>
          <w:p>
            <w:r>
              <w:t>Field</w:t>
            </w:r>
          </w:p>
        </w:tc>
        <w:tc>
          <w:tcPr>
            <w:tcW w:type="dxa" w:w="1872"/>
            <w:shd w:fill="D3D3D3"/>
          </w:tcPr>
          <w:p>
            <w:r>
              <w:t>Type</w:t>
            </w:r>
          </w:p>
        </w:tc>
        <w:tc>
          <w:tcPr>
            <w:tcW w:type="dxa" w:w="1872"/>
            <w:shd w:fill="D3D3D3"/>
          </w:tcPr>
          <w:p>
            <w:r>
              <w:t>Description</w:t>
            </w:r>
          </w:p>
        </w:tc>
        <w:tc>
          <w:tcPr>
            <w:tcW w:type="dxa" w:w="1872"/>
            <w:shd w:fill="D3D3D3"/>
          </w:tcPr>
          <w:p>
            <w:r>
              <w:t>Example</w:t>
            </w:r>
          </w:p>
        </w:tc>
        <w:tc>
          <w:tcPr>
            <w:tcW w:type="dxa" w:w="1872"/>
            <w:shd w:fill="D3D3D3"/>
          </w:tcPr>
          <w:p>
            <w:r>
              <w:t>Required</w:t>
            </w:r>
          </w:p>
        </w:tc>
      </w:tr>
      <w:tr>
        <w:tc>
          <w:tcPr>
            <w:tcW w:type="dxa" w:w="1872"/>
          </w:tcPr>
          <w:p>
            <w:r>
              <w:t>event_type</w:t>
            </w:r>
          </w:p>
        </w:tc>
        <w:tc>
          <w:tcPr>
            <w:tcW w:type="dxa" w:w="1872"/>
          </w:tcPr>
          <w:p>
            <w:r>
              <w:t>String</w:t>
            </w:r>
          </w:p>
        </w:tc>
        <w:tc>
          <w:tcPr>
            <w:tcW w:type="dxa" w:w="1872"/>
          </w:tcPr>
          <w:p>
            <w:r>
              <w:t>Always "match.scored"</w:t>
            </w:r>
          </w:p>
        </w:tc>
        <w:tc>
          <w:tcPr>
            <w:tcW w:type="dxa" w:w="1872"/>
          </w:tcPr>
          <w:p>
            <w:r>
              <w:t>"match.scored"</w:t>
            </w:r>
          </w:p>
        </w:tc>
        <w:tc>
          <w:tcPr>
            <w:tcW w:type="dxa" w:w="1872"/>
          </w:tcPr>
          <w:p>
            <w:r>
              <w:t>Yes</w:t>
            </w:r>
          </w:p>
        </w:tc>
      </w:tr>
      <w:tr>
        <w:tc>
          <w:tcPr>
            <w:tcW w:type="dxa" w:w="1872"/>
          </w:tcPr>
          <w:p>
            <w:r>
              <w:t>session_id</w:t>
            </w:r>
          </w:p>
        </w:tc>
        <w:tc>
          <w:tcPr>
            <w:tcW w:type="dxa" w:w="1872"/>
          </w:tcPr>
          <w:p>
            <w:r>
              <w:t>UUID</w:t>
            </w:r>
          </w:p>
        </w:tc>
        <w:tc>
          <w:tcPr>
            <w:tcW w:type="dxa" w:w="1872"/>
          </w:tcPr>
          <w:p>
            <w:r>
              <w:t>Unique assessment session ID</w:t>
            </w:r>
          </w:p>
        </w:tc>
        <w:tc>
          <w:tcPr>
            <w:tcW w:type="dxa" w:w="1872"/>
          </w:tcPr>
          <w:p>
            <w:r>
              <w:t>gd-uuid-12345</w:t>
            </w:r>
          </w:p>
        </w:tc>
        <w:tc>
          <w:tcPr>
            <w:tcW w:type="dxa" w:w="1872"/>
          </w:tcPr>
          <w:p>
            <w:r>
              <w:t>Yes</w:t>
            </w:r>
          </w:p>
        </w:tc>
      </w:tr>
      <w:tr>
        <w:tc>
          <w:tcPr>
            <w:tcW w:type="dxa" w:w="1872"/>
          </w:tcPr>
          <w:p>
            <w:r>
              <w:t>participant_id</w:t>
            </w:r>
          </w:p>
        </w:tc>
        <w:tc>
          <w:tcPr>
            <w:tcW w:type="dxa" w:w="1872"/>
          </w:tcPr>
          <w:p>
            <w:r>
              <w:t>UUID</w:t>
            </w:r>
          </w:p>
        </w:tc>
        <w:tc>
          <w:tcPr>
            <w:tcW w:type="dxa" w:w="1872"/>
          </w:tcPr>
          <w:p>
            <w:r>
              <w:t>Unique candidate identifier</w:t>
            </w:r>
          </w:p>
        </w:tc>
        <w:tc>
          <w:tcPr>
            <w:tcW w:type="dxa" w:w="1872"/>
          </w:tcPr>
          <w:p>
            <w:r>
              <w:t>cand-uuid-67890</w:t>
            </w:r>
          </w:p>
        </w:tc>
        <w:tc>
          <w:tcPr>
            <w:tcW w:type="dxa" w:w="1872"/>
          </w:tcPr>
          <w:p>
            <w:r>
              <w:t>Yes</w:t>
            </w:r>
          </w:p>
        </w:tc>
      </w:tr>
      <w:tr>
        <w:tc>
          <w:tcPr>
            <w:tcW w:type="dxa" w:w="1872"/>
          </w:tcPr>
          <w:p>
            <w:r>
              <w:t>tenant_id</w:t>
            </w:r>
          </w:p>
        </w:tc>
        <w:tc>
          <w:tcPr>
            <w:tcW w:type="dxa" w:w="1872"/>
          </w:tcPr>
          <w:p>
            <w:r>
              <w:t>UUID</w:t>
            </w:r>
          </w:p>
        </w:tc>
        <w:tc>
          <w:tcPr>
            <w:tcW w:type="dxa" w:w="1872"/>
          </w:tcPr>
          <w:p>
            <w:r>
              <w:t>Organization tenant ID</w:t>
            </w:r>
          </w:p>
        </w:tc>
        <w:tc>
          <w:tcPr>
            <w:tcW w:type="dxa" w:w="1872"/>
          </w:tcPr>
          <w:p>
            <w:r>
              <w:t>tenant-abc123</w:t>
            </w:r>
          </w:p>
        </w:tc>
        <w:tc>
          <w:tcPr>
            <w:tcW w:type="dxa" w:w="1872"/>
          </w:tcPr>
          <w:p>
            <w:r>
              <w:t>Yes</w:t>
            </w:r>
          </w:p>
        </w:tc>
      </w:tr>
      <w:tr>
        <w:tc>
          <w:tcPr>
            <w:tcW w:type="dxa" w:w="1872"/>
          </w:tcPr>
          <w:p>
            <w:r>
              <w:t>assessment_type</w:t>
            </w:r>
          </w:p>
        </w:tc>
        <w:tc>
          <w:tcPr>
            <w:tcW w:type="dxa" w:w="1872"/>
          </w:tcPr>
          <w:p>
            <w:r>
              <w:t>String</w:t>
            </w:r>
          </w:p>
        </w:tc>
        <w:tc>
          <w:tcPr>
            <w:tcW w:type="dxa" w:w="1872"/>
          </w:tcPr>
          <w:p>
            <w:r>
              <w:t>GD | Interview | Coding | Test</w:t>
            </w:r>
          </w:p>
        </w:tc>
        <w:tc>
          <w:tcPr>
            <w:tcW w:type="dxa" w:w="1872"/>
          </w:tcPr>
          <w:p>
            <w:r>
              <w:t>"GD"</w:t>
            </w:r>
          </w:p>
        </w:tc>
        <w:tc>
          <w:tcPr>
            <w:tcW w:type="dxa" w:w="1872"/>
          </w:tcPr>
          <w:p>
            <w:r>
              <w:t>Yes</w:t>
            </w:r>
          </w:p>
        </w:tc>
      </w:tr>
      <w:tr>
        <w:tc>
          <w:tcPr>
            <w:tcW w:type="dxa" w:w="1872"/>
          </w:tcPr>
          <w:p>
            <w:r>
              <w:t>raw_score</w:t>
            </w:r>
          </w:p>
        </w:tc>
        <w:tc>
          <w:tcPr>
            <w:tcW w:type="dxa" w:w="1872"/>
          </w:tcPr>
          <w:p>
            <w:r>
              <w:t>Number</w:t>
            </w:r>
          </w:p>
        </w:tc>
        <w:tc>
          <w:tcPr>
            <w:tcW w:type="dxa" w:w="1872"/>
          </w:tcPr>
          <w:p>
            <w:r>
              <w:t>Raw score 0-100</w:t>
            </w:r>
          </w:p>
        </w:tc>
        <w:tc>
          <w:tcPr>
            <w:tcW w:type="dxa" w:w="1872"/>
          </w:tcPr>
          <w:p>
            <w:r>
              <w:t>87.5</w:t>
            </w:r>
          </w:p>
        </w:tc>
        <w:tc>
          <w:tcPr>
            <w:tcW w:type="dxa" w:w="1872"/>
          </w:tcPr>
          <w:p>
            <w:r>
              <w:t>Yes</w:t>
            </w:r>
          </w:p>
        </w:tc>
      </w:tr>
      <w:tr>
        <w:tc>
          <w:tcPr>
            <w:tcW w:type="dxa" w:w="1872"/>
          </w:tcPr>
          <w:p>
            <w:r>
              <w:t>competency_scores</w:t>
            </w:r>
          </w:p>
        </w:tc>
        <w:tc>
          <w:tcPr>
            <w:tcW w:type="dxa" w:w="1872"/>
          </w:tcPr>
          <w:p>
            <w:r>
              <w:t>Object</w:t>
            </w:r>
          </w:p>
        </w:tc>
        <w:tc>
          <w:tcPr>
            <w:tcW w:type="dxa" w:w="1872"/>
          </w:tcPr>
          <w:p>
            <w:r>
              <w:t>Scores per dimension</w:t>
            </w:r>
          </w:p>
        </w:tc>
        <w:tc>
          <w:tcPr>
            <w:tcW w:type="dxa" w:w="1872"/>
          </w:tcPr>
          <w:p>
            <w:r>
              <w:t>{technical: 85, communication: 90}</w:t>
            </w:r>
          </w:p>
        </w:tc>
        <w:tc>
          <w:tcPr>
            <w:tcW w:type="dxa" w:w="1872"/>
          </w:tcPr>
          <w:p>
            <w:r>
              <w:t>Yes</w:t>
            </w:r>
          </w:p>
        </w:tc>
      </w:tr>
      <w:tr>
        <w:tc>
          <w:tcPr>
            <w:tcW w:type="dxa" w:w="1872"/>
          </w:tcPr>
          <w:p>
            <w:r>
              <w:t>timestamp</w:t>
            </w:r>
          </w:p>
        </w:tc>
        <w:tc>
          <w:tcPr>
            <w:tcW w:type="dxa" w:w="1872"/>
          </w:tcPr>
          <w:p>
            <w:r>
              <w:t>ISO-8601</w:t>
            </w:r>
          </w:p>
        </w:tc>
        <w:tc>
          <w:tcPr>
            <w:tcW w:type="dxa" w:w="1872"/>
          </w:tcPr>
          <w:p>
            <w:r>
              <w:t>Assessment completion time</w:t>
            </w:r>
          </w:p>
        </w:tc>
        <w:tc>
          <w:tcPr>
            <w:tcW w:type="dxa" w:w="1872"/>
          </w:tcPr>
          <w:p>
            <w:r>
              <w:t>2026-03-10T14:30:00Z</w:t>
            </w:r>
          </w:p>
        </w:tc>
        <w:tc>
          <w:tcPr>
            <w:tcW w:type="dxa" w:w="1872"/>
          </w:tcPr>
          <w:p>
            <w:r>
              <w:t>Yes</w:t>
            </w:r>
          </w:p>
        </w:tc>
      </w:tr>
      <w:tr>
        <w:tc>
          <w:tcPr>
            <w:tcW w:type="dxa" w:w="1872"/>
          </w:tcPr>
          <w:p>
            <w:r>
              <w:t>metadata</w:t>
            </w:r>
          </w:p>
        </w:tc>
        <w:tc>
          <w:tcPr>
            <w:tcW w:type="dxa" w:w="1872"/>
          </w:tcPr>
          <w:p>
            <w:r>
              <w:t>Object</w:t>
            </w:r>
          </w:p>
        </w:tc>
        <w:tc>
          <w:tcPr>
            <w:tcW w:type="dxa" w:w="1872"/>
          </w:tcPr>
          <w:p>
            <w:r>
              <w:t>Optional context (difficulty, assessor_id)</w:t>
            </w:r>
          </w:p>
        </w:tc>
        <w:tc>
          <w:tcPr>
            <w:tcW w:type="dxa" w:w="1872"/>
          </w:tcPr>
          <w:p>
            <w:r>
              <w:t>{difficulty: "hard"}</w:t>
            </w:r>
          </w:p>
        </w:tc>
        <w:tc>
          <w:tcPr>
            <w:tcW w:type="dxa" w:w="1872"/>
          </w:tcPr>
          <w:p>
            <w:r>
              <w:t>No</w:t>
            </w:r>
          </w:p>
        </w:tc>
      </w:tr>
    </w:tbl>
    <w:p>
      <w:pPr>
        <w:pStyle w:val="Heading2"/>
      </w:pPr>
      <w:r>
        <w:t>5.2 HTTP POST API Inputs</w:t>
      </w:r>
    </w:p>
    <w:p>
      <w:pPr>
        <w:spacing w:line="360" w:lineRule="auto"/>
      </w:pPr>
      <w:r>
        <w:t>The service exposes a REST endpoint for manual eligibility assessment: POST /api/v1/belt/assess-eligibility</w:t>
      </w:r>
    </w:p>
    <w:p>
      <w:r>
        <w:rPr>
          <w:b/>
        </w:rPr>
        <w:t>Request Body:</w:t>
        <w:br/>
      </w:r>
      <w:r>
        <w:t>{</w:t>
        <w:br/>
        <w:t xml:space="preserve">  "participant_id": "cand-uuid-67890",</w:t>
        <w:br/>
        <w:t xml:space="preserve">  "tenant_id": "tenant-abc123",</w:t>
        <w:br/>
        <w:t xml:space="preserve">  "force_reassess": false,</w:t>
        <w:br/>
        <w:t xml:space="preserve">  "include_historical": true</w:t>
        <w:br/>
        <w:t>}</w:t>
      </w:r>
    </w:p>
    <w:p>
      <w:pPr>
        <w:pStyle w:val="Heading2"/>
      </w:pPr>
      <w:r>
        <w:t>5.3 Redis Cache Inputs</w:t>
      </w:r>
    </w:p>
    <w:p>
      <w:pPr>
        <w:spacing w:line="360" w:lineRule="auto"/>
      </w:pPr>
      <w:r>
        <w:t>The service reads from Redis cache for quick score lookups:</w:t>
        <w:br/>
        <w:t>• Key: score_cache:{participant_id}:{assessment_type}</w:t>
        <w:br/>
        <w:t>• TTL: 24 hours</w:t>
        <w:br/>
        <w:t>• Use: Avoid redundant database queries during eligibility calculations</w:t>
      </w:r>
    </w:p>
    <w:p>
      <w:pPr>
        <w:pStyle w:val="Heading1"/>
      </w:pPr>
      <w:r>
        <w:t>6. Output Specifications</w:t>
      </w:r>
    </w:p>
    <w:p>
      <w:pPr>
        <w:pStyle w:val="Heading2"/>
      </w:pPr>
      <w:r>
        <w:t>6.1 HTTP Response Format</w:t>
      </w:r>
    </w:p>
    <w:p>
      <w:r>
        <w:rPr>
          <w:b/>
        </w:rPr>
        <w:t>Status: 200 OK</w:t>
        <w:br/>
        <w:br/>
      </w:r>
      <w:r>
        <w:t>{</w:t>
        <w:br/>
        <w:t xml:space="preserve">  "participant_id": "cand-uuid-67890",</w:t>
        <w:br/>
        <w:t xml:space="preserve">  "current_belt": "Green",</w:t>
        <w:br/>
        <w:t xml:space="preserve">  "eligible_for_next": true,</w:t>
        <w:br/>
        <w:t xml:space="preserve">  "next_belt": "Blue",</w:t>
        <w:br/>
        <w:t xml:space="preserve">  "eligibility_score": 68.5,</w:t>
        <w:br/>
        <w:t xml:space="preserve">  "required_score": 61,</w:t>
        <w:br/>
        <w:t xml:space="preserve">  "percentile_rank": 72,</w:t>
        <w:br/>
        <w:t xml:space="preserve">  "competency_breakdown": {</w:t>
        <w:br/>
        <w:t xml:space="preserve">    "technical_depth": 85,</w:t>
        <w:br/>
        <w:t xml:space="preserve">    "communication": 72,</w:t>
        <w:br/>
        <w:t xml:space="preserve">    "leadership": 65</w:t>
        <w:br/>
        <w:t xml:space="preserve">  },</w:t>
        <w:br/>
        <w:t xml:space="preserve">  "assessment_count": 12,</w:t>
        <w:br/>
        <w:t xml:space="preserve">  "last_assessment": "2026-03-10T14:30:00Z",</w:t>
        <w:br/>
        <w:t xml:space="preserve">  "confidence_level": 0.92,</w:t>
        <w:br/>
        <w:t xml:space="preserve">  "mentor_review_required": false</w:t>
        <w:br/>
        <w:t>}</w:t>
      </w:r>
    </w:p>
    <w:p>
      <w:pPr>
        <w:pStyle w:val="Heading2"/>
      </w:pPr>
      <w:r>
        <w:t>6.2 Kafka Event Outputs</w:t>
      </w:r>
    </w:p>
    <w:p>
      <w:r>
        <w:rPr>
          <w:b/>
        </w:rPr>
        <w:t xml:space="preserve">belt.eligible: </w:t>
      </w:r>
      <w:r>
        <w:t>Emitted when candidate becomes eligible for next belt advancement.</w:t>
      </w:r>
    </w:p>
    <w:p>
      <w:r>
        <w:rPr>
          <w:b/>
        </w:rPr>
        <w:t xml:space="preserve">belt.mentor_review_triggered: </w:t>
      </w:r>
      <w:r>
        <w:t>Emitted for Black/Master belt candidates requiring mentor confirmation.</w:t>
      </w:r>
    </w:p>
    <w:p>
      <w:r>
        <w:rPr>
          <w:b/>
        </w:rPr>
        <w:t xml:space="preserve">eligibility.assessment_complete: </w:t>
      </w:r>
      <w:r>
        <w:t>Emitted after every eligibility calculation for analytics.</w:t>
      </w:r>
    </w:p>
    <w:p>
      <w:pPr>
        <w:pStyle w:val="Heading2"/>
      </w:pPr>
      <w:r>
        <w:t>6.3 Error Response Format</w:t>
      </w:r>
    </w:p>
    <w:p>
      <w:r>
        <w:rPr>
          <w:b/>
        </w:rPr>
        <w:t>Status: 400 Bad Request</w:t>
        <w:br/>
        <w:br/>
      </w:r>
      <w:r>
        <w:t>{</w:t>
        <w:br/>
        <w:t xml:space="preserve">  "error": "insufficient_assessment_count",</w:t>
        <w:br/>
        <w:t xml:space="preserve">  "message": "Minimum 5 assessments required for eligibility evaluation",</w:t>
        <w:br/>
        <w:t xml:space="preserve">  "current_count": 3,</w:t>
        <w:br/>
        <w:t xml:space="preserve">  "required_count": 5</w:t>
        <w:br/>
        <w:t>}</w:t>
      </w:r>
    </w:p>
    <w:p>
      <w:pPr>
        <w:pStyle w:val="Heading1"/>
      </w:pPr>
      <w:r>
        <w:t>7. Service Dependencies</w:t>
      </w:r>
    </w:p>
    <w:p>
      <w:pPr>
        <w:pStyle w:val="Heading2"/>
      </w:pPr>
      <w:r>
        <w:t>7.1 Synchronous Dependencies (Must Be Up)</w:t>
      </w:r>
    </w:p>
    <w:p>
      <w:r>
        <w:rPr>
          <w:b/>
        </w:rPr>
        <w:t>PostgreSQL 15</w:t>
      </w:r>
    </w:p>
    <w:p>
      <w:pPr>
        <w:pStyle w:val="ListBullet"/>
      </w:pPr>
      <w:r>
        <w:t xml:space="preserve">  Primary database for belt configurations, eligibility rules, and candidate history.</w:t>
      </w:r>
    </w:p>
    <w:p>
      <w:r>
        <w:rPr>
          <w:b/>
        </w:rPr>
        <w:t>Keycloak 24.0</w:t>
      </w:r>
    </w:p>
    <w:p>
      <w:pPr>
        <w:pStyle w:val="ListBullet"/>
      </w:pPr>
      <w:r>
        <w:t xml:space="preserve">  JWT token validation for all API requests. Service validates auth tokens before processing.</w:t>
      </w:r>
    </w:p>
    <w:p>
      <w:r>
        <w:rPr>
          <w:b/>
        </w:rPr>
        <w:t>Redis 7</w:t>
      </w:r>
    </w:p>
    <w:p>
      <w:pPr>
        <w:pStyle w:val="ListBullet"/>
      </w:pPr>
      <w:r>
        <w:t xml:space="preserve">  In-memory cache for recent scores and eligibility state. Cache misses fall back to PostgreSQL.</w:t>
      </w:r>
    </w:p>
    <w:p>
      <w:pPr>
        <w:pStyle w:val="Heading2"/>
      </w:pPr>
      <w:r>
        <w:t>7.2 Asynchronous Dependencies (Graceful Degradation)</w:t>
      </w:r>
    </w:p>
    <w:p>
      <w:r>
        <w:rPr>
          <w:b/>
        </w:rPr>
        <w:t>Apache Kafka 3.7.0</w:t>
      </w:r>
    </w:p>
    <w:p>
      <w:pPr>
        <w:pStyle w:val="ListBullet"/>
      </w:pPr>
      <w:r>
        <w:t xml:space="preserve">  Event stream for score inputs and eligibility event outputs. Service buffers events locally on Kafka consumer lag.</w:t>
      </w:r>
    </w:p>
    <w:p>
      <w:r>
        <w:rPr>
          <w:b/>
        </w:rPr>
        <w:t>Scoring Engine</w:t>
      </w:r>
    </w:p>
    <w:p>
      <w:pPr>
        <w:pStyle w:val="ListBullet"/>
      </w:pPr>
      <w:r>
        <w:t xml:space="preserve">  Produces match.scored events. If down, no new scores arrive, but historical eligibility checks still work.</w:t>
      </w:r>
    </w:p>
    <w:p>
      <w:r>
        <w:rPr>
          <w:b/>
        </w:rPr>
        <w:t>Certification Engine</w:t>
      </w:r>
    </w:p>
    <w:p>
      <w:pPr>
        <w:pStyle w:val="ListBullet"/>
      </w:pPr>
      <w:r>
        <w:t xml:space="preserve">  Consumes belt.eligible events to issue certificates. If down, events are retained in Kafka until processing.</w:t>
      </w:r>
    </w:p>
    <w:p>
      <w:pPr>
        <w:pStyle w:val="Heading2"/>
      </w:pPr>
      <w:r>
        <w:t>7.3 Optional Dependencies</w:t>
      </w:r>
    </w:p>
    <w:p>
      <w:r>
        <w:rPr>
          <w:b/>
        </w:rPr>
        <w:t>Notification Service</w:t>
      </w:r>
    </w:p>
    <w:p>
      <w:pPr>
        <w:pStyle w:val="ListBullet"/>
      </w:pPr>
      <w:r>
        <w:t xml:space="preserve">  Sends eligibility notifications via email/SMS. Service operates without it, but users miss notifications.</w:t>
      </w:r>
    </w:p>
    <w:p>
      <w:r>
        <w:rPr>
          <w:b/>
        </w:rPr>
        <w:t>Analytics Service (ClickHouse)</w:t>
      </w:r>
    </w:p>
    <w:p>
      <w:pPr>
        <w:pStyle w:val="ListBullet"/>
      </w:pPr>
      <w:r>
        <w:t xml:space="preserve">  Consumes eligibility.assessment_complete events for funnel analytics. Events are logged even if service is unavailable.</w:t>
      </w:r>
    </w:p>
    <w:p>
      <w:pPr>
        <w:pStyle w:val="Heading1"/>
      </w:pPr>
      <w:r>
        <w:t>8. Technology Stack</w:t>
      </w:r>
    </w:p>
    <w:p>
      <w:pPr>
        <w:pStyle w:val="Heading2"/>
      </w:pPr>
      <w:r>
        <w:t>8.1 Runtime &amp; Framework</w:t>
      </w:r>
    </w:p>
    <w:tbl>
      <w:tblPr>
        <w:tblStyle w:val="LightGrid-Accent1"/>
        <w:tblW w:type="auto" w:w="0"/>
        <w:tblLook w:firstColumn="1" w:firstRow="1" w:lastColumn="0" w:lastRow="0" w:noHBand="0" w:noVBand="1" w:val="04A0"/>
      </w:tblPr>
      <w:tblGrid>
        <w:gridCol w:w="3120"/>
        <w:gridCol w:w="3120"/>
        <w:gridCol w:w="3120"/>
      </w:tblGrid>
      <w:tr>
        <w:tc>
          <w:tcPr>
            <w:tcW w:type="dxa" w:w="3120"/>
            <w:shd w:fill="D3D3D3"/>
          </w:tcPr>
          <w:p>
            <w:r>
              <w:t>Component</w:t>
            </w:r>
          </w:p>
        </w:tc>
        <w:tc>
          <w:tcPr>
            <w:tcW w:type="dxa" w:w="3120"/>
            <w:shd w:fill="D3D3D3"/>
          </w:tcPr>
          <w:p>
            <w:r>
              <w:t>Technology</w:t>
            </w:r>
          </w:p>
        </w:tc>
        <w:tc>
          <w:tcPr>
            <w:tcW w:type="dxa" w:w="3120"/>
            <w:shd w:fill="D3D3D3"/>
          </w:tcPr>
          <w:p>
            <w:r>
              <w:t>Version / Details</w:t>
            </w:r>
          </w:p>
        </w:tc>
      </w:tr>
      <w:tr>
        <w:tc>
          <w:tcPr>
            <w:tcW w:type="dxa" w:w="3120"/>
          </w:tcPr>
          <w:p>
            <w:r>
              <w:t>Runtime</w:t>
            </w:r>
          </w:p>
        </w:tc>
        <w:tc>
          <w:tcPr>
            <w:tcW w:type="dxa" w:w="3120"/>
          </w:tcPr>
          <w:p>
            <w:r>
              <w:t>Node.js</w:t>
            </w:r>
          </w:p>
        </w:tc>
        <w:tc>
          <w:tcPr>
            <w:tcW w:type="dxa" w:w="3120"/>
          </w:tcPr>
          <w:p>
            <w:r>
              <w:t>20.x LTS</w:t>
            </w:r>
          </w:p>
        </w:tc>
      </w:tr>
      <w:tr>
        <w:tc>
          <w:tcPr>
            <w:tcW w:type="dxa" w:w="3120"/>
          </w:tcPr>
          <w:p>
            <w:r>
              <w:t>Language</w:t>
            </w:r>
          </w:p>
        </w:tc>
        <w:tc>
          <w:tcPr>
            <w:tcW w:type="dxa" w:w="3120"/>
          </w:tcPr>
          <w:p>
            <w:r>
              <w:t>TypeScript</w:t>
            </w:r>
          </w:p>
        </w:tc>
        <w:tc>
          <w:tcPr>
            <w:tcW w:type="dxa" w:w="3120"/>
          </w:tcPr>
          <w:p>
            <w:r>
              <w:t>5.x with strict mode</w:t>
            </w:r>
          </w:p>
        </w:tc>
      </w:tr>
      <w:tr>
        <w:tc>
          <w:tcPr>
            <w:tcW w:type="dxa" w:w="3120"/>
          </w:tcPr>
          <w:p>
            <w:r>
              <w:t>Web Framework</w:t>
            </w:r>
          </w:p>
        </w:tc>
        <w:tc>
          <w:tcPr>
            <w:tcW w:type="dxa" w:w="3120"/>
          </w:tcPr>
          <w:p>
            <w:r>
              <w:t>Express.js</w:t>
            </w:r>
          </w:p>
        </w:tc>
        <w:tc>
          <w:tcPr>
            <w:tcW w:type="dxa" w:w="3120"/>
          </w:tcPr>
          <w:p>
            <w:r>
              <w:t>4.18+</w:t>
            </w:r>
          </w:p>
        </w:tc>
      </w:tr>
      <w:tr>
        <w:tc>
          <w:tcPr>
            <w:tcW w:type="dxa" w:w="3120"/>
          </w:tcPr>
          <w:p>
            <w:r>
              <w:t>ORM</w:t>
            </w:r>
          </w:p>
        </w:tc>
        <w:tc>
          <w:tcPr>
            <w:tcW w:type="dxa" w:w="3120"/>
          </w:tcPr>
          <w:p>
            <w:r>
              <w:t>Prisma</w:t>
            </w:r>
          </w:p>
        </w:tc>
        <w:tc>
          <w:tcPr>
            <w:tcW w:type="dxa" w:w="3120"/>
          </w:tcPr>
          <w:p>
            <w:r>
              <w:t>5.x with PostgreSQL adapter</w:t>
            </w:r>
          </w:p>
        </w:tc>
      </w:tr>
      <w:tr>
        <w:tc>
          <w:tcPr>
            <w:tcW w:type="dxa" w:w="3120"/>
          </w:tcPr>
          <w:p>
            <w:r>
              <w:t>Message Queue</w:t>
            </w:r>
          </w:p>
        </w:tc>
        <w:tc>
          <w:tcPr>
            <w:tcW w:type="dxa" w:w="3120"/>
          </w:tcPr>
          <w:p>
            <w:r>
              <w:t>Apache Kafka</w:t>
            </w:r>
          </w:p>
        </w:tc>
        <w:tc>
          <w:tcPr>
            <w:tcW w:type="dxa" w:w="3120"/>
          </w:tcPr>
          <w:p>
            <w:r>
              <w:t>3.7.0 via node-rdkafka</w:t>
            </w:r>
          </w:p>
        </w:tc>
      </w:tr>
      <w:tr>
        <w:tc>
          <w:tcPr>
            <w:tcW w:type="dxa" w:w="3120"/>
          </w:tcPr>
          <w:p>
            <w:r>
              <w:t>Cache</w:t>
            </w:r>
          </w:p>
        </w:tc>
        <w:tc>
          <w:tcPr>
            <w:tcW w:type="dxa" w:w="3120"/>
          </w:tcPr>
          <w:p>
            <w:r>
              <w:t>Redis Client</w:t>
            </w:r>
          </w:p>
        </w:tc>
        <w:tc>
          <w:tcPr>
            <w:tcW w:type="dxa" w:w="3120"/>
          </w:tcPr>
          <w:p>
            <w:r>
              <w:t>redis@5.x</w:t>
            </w:r>
          </w:p>
        </w:tc>
      </w:tr>
      <w:tr>
        <w:tc>
          <w:tcPr>
            <w:tcW w:type="dxa" w:w="3120"/>
          </w:tcPr>
          <w:p>
            <w:r>
              <w:t>Validation</w:t>
            </w:r>
          </w:p>
        </w:tc>
        <w:tc>
          <w:tcPr>
            <w:tcW w:type="dxa" w:w="3120"/>
          </w:tcPr>
          <w:p>
            <w:r>
              <w:t>Zod</w:t>
            </w:r>
          </w:p>
        </w:tc>
        <w:tc>
          <w:tcPr>
            <w:tcW w:type="dxa" w:w="3120"/>
          </w:tcPr>
          <w:p>
            <w:r>
              <w:t>3.x for request/response schemas</w:t>
            </w:r>
          </w:p>
        </w:tc>
      </w:tr>
      <w:tr>
        <w:tc>
          <w:tcPr>
            <w:tcW w:type="dxa" w:w="3120"/>
          </w:tcPr>
          <w:p>
            <w:r>
              <w:t>Logging</w:t>
            </w:r>
          </w:p>
        </w:tc>
        <w:tc>
          <w:tcPr>
            <w:tcW w:type="dxa" w:w="3120"/>
          </w:tcPr>
          <w:p>
            <w:r>
              <w:t>Winston</w:t>
            </w:r>
          </w:p>
        </w:tc>
        <w:tc>
          <w:tcPr>
            <w:tcW w:type="dxa" w:w="3120"/>
          </w:tcPr>
          <w:p>
            <w:r>
              <w:t>3.x with structured JSON logs</w:t>
            </w:r>
          </w:p>
        </w:tc>
      </w:tr>
      <w:tr>
        <w:tc>
          <w:tcPr>
            <w:tcW w:type="dxa" w:w="3120"/>
          </w:tcPr>
          <w:p>
            <w:r>
              <w:t>Monitoring</w:t>
            </w:r>
          </w:p>
        </w:tc>
        <w:tc>
          <w:tcPr>
            <w:tcW w:type="dxa" w:w="3120"/>
          </w:tcPr>
          <w:p>
            <w:r>
              <w:t>Prometheus Client</w:t>
            </w:r>
          </w:p>
        </w:tc>
        <w:tc>
          <w:tcPr>
            <w:tcW w:type="dxa" w:w="3120"/>
          </w:tcPr>
          <w:p>
            <w:r>
              <w:t>prom-client@15.x</w:t>
            </w:r>
          </w:p>
        </w:tc>
      </w:tr>
    </w:tbl>
    <w:p>
      <w:pPr>
        <w:pStyle w:val="Heading2"/>
      </w:pPr>
      <w:r>
        <w:t>8.2 Container &amp; Orchestration</w:t>
      </w:r>
    </w:p>
    <w:p>
      <w:r>
        <w:rPr>
          <w:b/>
        </w:rPr>
        <w:t xml:space="preserve">Base Image: </w:t>
      </w:r>
      <w:r>
        <w:t>node:20-alpine (optimized for production)</w:t>
        <w:br/>
      </w:r>
      <w:r>
        <w:rPr>
          <w:b/>
        </w:rPr>
        <w:t xml:space="preserve">Container Runtime: </w:t>
      </w:r>
      <w:r>
        <w:t>Docker 24+</w:t>
        <w:br/>
      </w:r>
      <w:r>
        <w:rPr>
          <w:b/>
        </w:rPr>
        <w:t xml:space="preserve">Orchestration: </w:t>
      </w:r>
      <w:r>
        <w:t>Kubernetes (k3s) on GCP + AWS</w:t>
        <w:br/>
      </w:r>
      <w:r>
        <w:rPr>
          <w:b/>
        </w:rPr>
        <w:t xml:space="preserve">Namespace: </w:t>
      </w:r>
      <w:r>
        <w:t>analytics</w:t>
        <w:br/>
      </w:r>
      <w:r>
        <w:rPr>
          <w:b/>
        </w:rPr>
        <w:t xml:space="preserve">Replicas: </w:t>
      </w:r>
      <w:r>
        <w:t>2 (production), 1 (staging)</w:t>
      </w:r>
    </w:p>
    <w:p>
      <w:pPr>
        <w:pStyle w:val="Heading2"/>
      </w:pPr>
      <w:r>
        <w:t>8.3 Data Persistence</w:t>
      </w:r>
    </w:p>
    <w:p>
      <w:pPr>
        <w:pStyle w:val="ListBullet"/>
      </w:pPr>
      <w:r>
        <w:t>PostgreSQL 15 with row-level security (RLS) via tenant_id</w:t>
      </w:r>
    </w:p>
    <w:p>
      <w:pPr>
        <w:pStyle w:val="ListBullet"/>
      </w:pPr>
      <w:r>
        <w:t>Redis 7 for session state and cache</w:t>
      </w:r>
    </w:p>
    <w:p>
      <w:pPr>
        <w:pStyle w:val="ListBullet"/>
      </w:pPr>
      <w:r>
        <w:t>Longhorn distributed block storage for PersistentVolumes</w:t>
      </w:r>
    </w:p>
    <w:p>
      <w:pPr>
        <w:pStyle w:val="Heading1"/>
      </w:pPr>
      <w:r>
        <w:t>9. Business Value &amp; Impact</w:t>
      </w:r>
    </w:p>
    <w:p>
      <w:pPr>
        <w:pStyle w:val="Heading2"/>
      </w:pPr>
      <w:r>
        <w:t>9.1 For Recruiters</w:t>
      </w:r>
    </w:p>
    <w:p>
      <w:pPr>
        <w:spacing w:line="360" w:lineRule="auto"/>
      </w:pPr>
      <w:r>
        <w:t>The belt-eligibility-service provides objective, measurable criteria for career progression decisions. Instead of subjective bias, recruiters receive data-driven recommendations: "This candidate is in the top 10% of their cohort and ready for Blue belt promotion." This reduces hiring bias, accelerates talent discovery, and improves job-fit matching. Recruiters can confidently identify top talent across geographies and experience levels.</w:t>
      </w:r>
    </w:p>
    <w:p>
      <w:pPr>
        <w:pStyle w:val="Heading2"/>
      </w:pPr>
      <w:r>
        <w:t>9.2 For Candidates</w:t>
      </w:r>
    </w:p>
    <w:p>
      <w:pPr>
        <w:spacing w:line="360" w:lineRule="auto"/>
      </w:pPr>
      <w:r>
        <w:t>Candidates gain transparent feedback on their professional development. They see exactly what scores are needed to reach the next belt level, which dimensions need improvement, and how they compare to peers. This gamification element drives higher platform engagement (estimated +25% session completion rate) and motivates continuous learning and skill development.</w:t>
      </w:r>
    </w:p>
    <w:p>
      <w:pPr>
        <w:pStyle w:val="Heading2"/>
      </w:pPr>
      <w:r>
        <w:t>9.3 For Ecoskiller Platform</w:t>
      </w:r>
    </w:p>
    <w:p>
      <w:pPr>
        <w:spacing w:line="360" w:lineRule="auto"/>
      </w:pPr>
      <w:r>
        <w:t>Belt progression creates a sticky engagement loop: candidates return repeatedly to improve their belts and scores. This drives higher lifetime value (LTV) per candidate and increases recruiter activity as they discover more qualified talent. The belt system differentiates Ecoskiller from traditional recruiting platforms, enabling premium positioning and pricing (estimated +15% ARPU uplift).</w:t>
      </w:r>
    </w:p>
    <w:p>
      <w:pPr>
        <w:pStyle w:val="Heading2"/>
      </w:pPr>
      <w:r>
        <w:t>9.4 Risk Mitigation</w:t>
      </w:r>
    </w:p>
    <w:p>
      <w:pPr>
        <w:spacing w:line="360" w:lineRule="auto"/>
      </w:pPr>
      <w:r>
        <w:t>By automating eligibility decisions, Ecoskiller reduces legal exposure to hiring discrimination claims. All decisions are logged, auditable, and based on objective assessment scores rather than subjective interviewer judgment. The service integrates with the Immutable Archive (Section 22) to ensure compliance with DPDPA 2023 and GST regulations.</w:t>
      </w:r>
    </w:p>
    <w:p>
      <w:pPr>
        <w:pStyle w:val="Heading1"/>
      </w:pPr>
      <w:r>
        <w:t>10. Deployment &amp; Configuration</w:t>
      </w:r>
    </w:p>
    <w:p>
      <w:pPr>
        <w:pStyle w:val="Heading2"/>
      </w:pPr>
      <w:r>
        <w:t>10.1 Helm Chart Deployment</w:t>
      </w:r>
    </w:p>
    <w:p>
      <w:pPr>
        <w:spacing w:line="360" w:lineRule="auto"/>
      </w:pPr>
      <w:r>
        <w:t>The service is deployed via Helm 3.x with environment-specific value overrides. The Helm chart (ecoskiller-charts/belt-eligibility-service) includes Deployment, Service, HPA (Horizontal Pod Autoscaler), ConfigMap, ServiceAccount, and NetworkPolicy manifests.</w:t>
      </w:r>
    </w:p>
    <w:p>
      <w:pPr>
        <w:pStyle w:val="Heading2"/>
      </w:pPr>
      <w:r>
        <w:t>10.2 Environment-Specific Configuration</w:t>
      </w:r>
    </w:p>
    <w:p>
      <w:r>
        <w:rPr>
          <w:b/>
        </w:rPr>
        <w:t xml:space="preserve">DEV Environment: </w:t>
      </w:r>
      <w:r>
        <w:t>1 replica, DEBUG log level, mock external services</w:t>
        <w:br/>
      </w:r>
      <w:r>
        <w:rPr>
          <w:b/>
        </w:rPr>
        <w:t xml:space="preserve">TEST Environment: </w:t>
      </w:r>
      <w:r>
        <w:t>1 replica, INFO log level, integrated tests</w:t>
        <w:br/>
      </w:r>
      <w:r>
        <w:rPr>
          <w:b/>
        </w:rPr>
        <w:t xml:space="preserve">STAGE Environment: </w:t>
      </w:r>
      <w:r>
        <w:t>2 replicas, INFO log level, production-like setup</w:t>
        <w:br/>
      </w:r>
      <w:r>
        <w:rPr>
          <w:b/>
        </w:rPr>
        <w:t xml:space="preserve">PROD Environment: </w:t>
      </w:r>
      <w:r>
        <w:t>3 replicas, WARN log level, full observability, auto-scaling enabled</w:t>
      </w:r>
    </w:p>
    <w:p>
      <w:pPr>
        <w:pStyle w:val="Heading2"/>
      </w:pPr>
      <w:r>
        <w:t>10.3 Resource Allocation</w:t>
      </w:r>
    </w:p>
    <w:p>
      <w:r>
        <w:rPr>
          <w:b/>
        </w:rPr>
        <w:t xml:space="preserve">CPU Requests: </w:t>
      </w:r>
      <w:r>
        <w:t>250m per pod</w:t>
        <w:br/>
      </w:r>
      <w:r>
        <w:rPr>
          <w:b/>
        </w:rPr>
        <w:t xml:space="preserve">CPU Limits: </w:t>
      </w:r>
      <w:r>
        <w:t>1000m per pod</w:t>
        <w:br/>
      </w:r>
      <w:r>
        <w:rPr>
          <w:b/>
        </w:rPr>
        <w:t xml:space="preserve">Memory Requests: </w:t>
      </w:r>
      <w:r>
        <w:t>512Mi per pod</w:t>
        <w:br/>
      </w:r>
      <w:r>
        <w:rPr>
          <w:b/>
        </w:rPr>
        <w:t xml:space="preserve">Memory Limits: </w:t>
      </w:r>
      <w:r>
        <w:t>1Gi per pod</w:t>
      </w:r>
    </w:p>
    <w:p>
      <w:pPr>
        <w:pStyle w:val="Heading1"/>
      </w:pPr>
      <w:r>
        <w:t>11. API Reference</w:t>
      </w:r>
    </w:p>
    <w:p>
      <w:pPr>
        <w:pStyle w:val="Heading2"/>
      </w:pPr>
      <w:r>
        <w:t>11.1 POST /api/v1/belt/assess-eligibility</w:t>
      </w:r>
    </w:p>
    <w:p>
      <w:r>
        <w:rPr>
          <w:b/>
        </w:rPr>
        <w:t xml:space="preserve">Purpose: </w:t>
      </w:r>
      <w:r>
        <w:t>Assess a candidate's eligibility for belt advancement</w:t>
        <w:br/>
      </w:r>
      <w:r>
        <w:rPr>
          <w:b/>
        </w:rPr>
        <w:t xml:space="preserve">Authentication: </w:t>
      </w:r>
      <w:r>
        <w:t>Keycloak JWT bearer token required</w:t>
      </w:r>
    </w:p>
    <w:p>
      <w:pPr>
        <w:pStyle w:val="Heading2"/>
      </w:pPr>
      <w:r>
        <w:t>11.2 GET /api/v1/belt/{participantId}/history</w:t>
      </w:r>
    </w:p>
    <w:p>
      <w:r>
        <w:rPr>
          <w:b/>
        </w:rPr>
        <w:t xml:space="preserve">Purpose: </w:t>
      </w:r>
      <w:r>
        <w:t>Retrieve a candidate's belt progression history</w:t>
        <w:br/>
      </w:r>
      <w:r>
        <w:rPr>
          <w:b/>
        </w:rPr>
        <w:t xml:space="preserve">Returns: </w:t>
      </w:r>
      <w:r>
        <w:t>Chronological list of all belt assessments with timestamps</w:t>
      </w:r>
    </w:p>
    <w:p>
      <w:pPr>
        <w:pStyle w:val="Heading2"/>
      </w:pPr>
      <w:r>
        <w:t>11.3 GET /actuator/health</w:t>
      </w:r>
    </w:p>
    <w:p>
      <w:r>
        <w:rPr>
          <w:b/>
        </w:rPr>
        <w:t xml:space="preserve">Purpose: </w:t>
      </w:r>
      <w:r>
        <w:t>Health check endpoint for Kubernetes liveness probes</w:t>
        <w:br/>
      </w:r>
      <w:r>
        <w:rPr>
          <w:b/>
        </w:rPr>
        <w:t xml:space="preserve">Response: </w:t>
      </w:r>
      <w:r>
        <w:t>{ "status": "UP", "components": { "postgres": { "status": "UP" }, "kafka": { "status": "UP" } } }</w:t>
      </w:r>
    </w:p>
    <w:p>
      <w:pPr>
        <w:pStyle w:val="Heading1"/>
      </w:pPr>
      <w:r>
        <w:t>12. Data Flow &amp; Architecture</w:t>
      </w:r>
    </w:p>
    <w:p>
      <w:pPr>
        <w:pStyle w:val="Heading2"/>
      </w:pPr>
      <w:r>
        <w:t>12.1 Event-Driven Data Flow</w:t>
      </w:r>
    </w:p>
    <w:p>
      <w:pPr>
        <w:spacing w:line="360" w:lineRule="auto"/>
      </w:pPr>
      <w:r>
        <w:t>1. Candidate completes assessment (GD, Interview, Coding)</w:t>
        <w:br/>
        <w:t>2. Scoring Engine computes raw score and publishes match.scored to Kafka</w:t>
        <w:br/>
        <w:t>3. Belt-Eligibility-Service consumes match.scored event from Kafka broker</w:t>
        <w:br/>
        <w:t>4. Service aggregates scores, applies eligibility algorithms, updates PostgreSQL</w:t>
        <w:br/>
        <w:t>5. If eligible, service publishes belt.eligible event to Kafka</w:t>
        <w:br/>
        <w:t>6. Certification Engine consumes belt.eligible and issues digital certificate</w:t>
        <w:br/>
        <w:t>7. Notification Service sends eligibility notification via email/SMS</w:t>
      </w:r>
    </w:p>
    <w:p>
      <w:pPr>
        <w:pStyle w:val="Heading2"/>
      </w:pPr>
      <w:r>
        <w:t>12.2 State Management</w:t>
      </w:r>
    </w:p>
    <w:p>
      <w:pPr>
        <w:spacing w:line="360" w:lineRule="auto"/>
      </w:pPr>
      <w:r>
        <w:t>State is maintained in PostgreSQL with denormalized scoring tables for fast queries. Redis caches recent scores for sub-100ms eligibility lookups. Kafka event log provides immutable audit trail of all eligibility decisions for compliance and debugging.</w:t>
      </w:r>
    </w:p>
    <w:p>
      <w:pPr>
        <w:pStyle w:val="Heading1"/>
      </w:pPr>
      <w:r>
        <w:t>13. Error Handling &amp; Resilience</w:t>
      </w:r>
    </w:p>
    <w:p>
      <w:pPr>
        <w:pStyle w:val="Heading2"/>
      </w:pPr>
      <w:r>
        <w:t>13.1 Failure Modes &amp; Recovery</w:t>
      </w:r>
    </w:p>
    <w:p>
      <w:pPr>
        <w:pStyle w:val="Heading3"/>
      </w:pPr>
      <w:r>
        <w:t>PostgreSQL Down</w:t>
      </w:r>
    </w:p>
    <w:p>
      <w:pPr>
        <w:spacing w:line="360" w:lineRule="auto"/>
      </w:pPr>
      <w:r>
        <w:t>Eligibility checks fail with 503 Service Unavailable. Kafka events are buffered in memory for up to 5 minutes. On recovery, cached events are replayed.</w:t>
      </w:r>
    </w:p>
    <w:p>
      <w:pPr>
        <w:pStyle w:val="Heading3"/>
      </w:pPr>
      <w:r>
        <w:t>Kafka Down</w:t>
      </w:r>
    </w:p>
    <w:p>
      <w:pPr>
        <w:spacing w:line="360" w:lineRule="auto"/>
      </w:pPr>
      <w:r>
        <w:t>HTTP API requests continue serving historical data. New assessment scores are buffered in memory and replayed when Kafka recovers.</w:t>
      </w:r>
    </w:p>
    <w:p>
      <w:pPr>
        <w:pStyle w:val="Heading3"/>
      </w:pPr>
      <w:r>
        <w:t>Redis Down</w:t>
      </w:r>
    </w:p>
    <w:p>
      <w:pPr>
        <w:spacing w:line="360" w:lineRule="auto"/>
      </w:pPr>
      <w:r>
        <w:t>Service degrades gracefully: all queries hit PostgreSQL instead of cache. Latency increases from ~50ms to ~200ms. Service remains operational.</w:t>
      </w:r>
    </w:p>
    <w:p>
      <w:pPr>
        <w:pStyle w:val="Heading2"/>
      </w:pPr>
      <w:r>
        <w:t>13.2 Timeout &amp; Retry Policy</w:t>
      </w:r>
    </w:p>
    <w:p>
      <w:r>
        <w:rPr>
          <w:b/>
        </w:rPr>
        <w:t xml:space="preserve">Kafka Consumer: </w:t>
      </w:r>
      <w:r>
        <w:t>Max 3 retries on transient errors, exponential backoff, DLQ after failure</w:t>
        <w:br/>
      </w:r>
      <w:r>
        <w:rPr>
          <w:b/>
        </w:rPr>
        <w:t xml:space="preserve">PostgreSQL Queries: </w:t>
      </w:r>
      <w:r>
        <w:t>2 retries with 100ms backoff for connection errors</w:t>
        <w:br/>
      </w:r>
      <w:r>
        <w:rPr>
          <w:b/>
        </w:rPr>
        <w:t xml:space="preserve">HTTP Requests: </w:t>
      </w:r>
      <w:r>
        <w:t>30 second timeout, no retries (idempotent caller responsible)</w:t>
      </w:r>
    </w:p>
    <w:p>
      <w:pPr>
        <w:pStyle w:val="Heading1"/>
      </w:pPr>
      <w:r>
        <w:t>14. Monitoring &amp; Observability</w:t>
      </w:r>
    </w:p>
    <w:p>
      <w:pPr>
        <w:pStyle w:val="Heading2"/>
      </w:pPr>
      <w:r>
        <w:t>14.1 Prometheus Metrics</w:t>
      </w:r>
    </w:p>
    <w:p>
      <w:pPr>
        <w:pStyle w:val="ListBullet"/>
      </w:pPr>
      <w:r>
        <w:t>belt_eligibility_assessment_duration_ms (histogram)</w:t>
      </w:r>
    </w:p>
    <w:p>
      <w:pPr>
        <w:pStyle w:val="ListBullet"/>
      </w:pPr>
      <w:r>
        <w:t>belt_eligibility_assessments_total (counter)</w:t>
      </w:r>
    </w:p>
    <w:p>
      <w:pPr>
        <w:pStyle w:val="ListBullet"/>
      </w:pPr>
      <w:r>
        <w:t>belt_eligibility_errors_total (counter)</w:t>
      </w:r>
    </w:p>
    <w:p>
      <w:pPr>
        <w:pStyle w:val="ListBullet"/>
      </w:pPr>
      <w:r>
        <w:t>kafka_consumer_lag (gauge)</w:t>
      </w:r>
    </w:p>
    <w:p>
      <w:pPr>
        <w:pStyle w:val="ListBullet"/>
      </w:pPr>
      <w:r>
        <w:t>postgresql_query_duration_ms (histogram)</w:t>
      </w:r>
    </w:p>
    <w:p>
      <w:pPr>
        <w:pStyle w:val="ListBullet"/>
      </w:pPr>
      <w:r>
        <w:t>redis_cache_hits_total (counter)</w:t>
      </w:r>
    </w:p>
    <w:p>
      <w:pPr>
        <w:pStyle w:val="ListBullet"/>
      </w:pPr>
      <w:r>
        <w:t>redis_cache_misses_total (counter)</w:t>
      </w:r>
    </w:p>
    <w:p>
      <w:pPr>
        <w:pStyle w:val="Heading2"/>
      </w:pPr>
      <w:r>
        <w:t>14.2 Log Aggregation</w:t>
      </w:r>
    </w:p>
    <w:p>
      <w:r>
        <w:t xml:space="preserve">Logs are emitted in JSON format and collected via Grafana Loki. Log levels are configurable per environment. </w:t>
      </w:r>
      <w:r>
        <w:t xml:space="preserve">Key log events: </w:t>
      </w:r>
      <w:r>
        <w:t>(1) assessment_evaluated, (2) eligibility_changed, (3) mentor_review_triggered, (4) error_occurred. All logs include request_id for request tracing across service boundaries.</w:t>
      </w:r>
    </w:p>
    <w:p>
      <w:pPr>
        <w:pStyle w:val="Heading2"/>
      </w:pPr>
      <w:r>
        <w:t>14.3 Distributed Tracing</w:t>
      </w:r>
    </w:p>
    <w:p>
      <w:r>
        <w:t xml:space="preserve">OpenTelemetry traces all requests from NGINX Ingress → belt-eligibility-service → PostgreSQL/Kafka. </w:t>
      </w:r>
      <w:r>
        <w:t>Traces are exported to Grafana Tempo (self-hosted) and queryable in Grafana UI with full span context.</w:t>
      </w:r>
    </w:p>
    <w:p>
      <w:pPr>
        <w:pStyle w:val="Heading1"/>
      </w:pPr>
      <w:r>
        <w:t>15. Security Considerations</w:t>
      </w:r>
    </w:p>
    <w:p>
      <w:pPr>
        <w:pStyle w:val="Heading2"/>
      </w:pPr>
      <w:r>
        <w:t>15.1 Authentication &amp; Authorization</w:t>
      </w:r>
    </w:p>
    <w:p>
      <w:pPr>
        <w:spacing w:line="360" w:lineRule="auto"/>
      </w:pPr>
      <w:r>
        <w:t>All API requests require a valid Keycloak JWT bearer token. The service validates token signature, expiry, and required claims (tenant_id, user_id, role). Role-based access control (RBAC) ensures that recruiters can only view eligibility for candidates in their own organization (tenant). Admin-only endpoints (e.g., re-assess-eligibility) are protected via Keycloak ADMIN role.</w:t>
      </w:r>
    </w:p>
    <w:p>
      <w:pPr>
        <w:pStyle w:val="Heading2"/>
      </w:pPr>
      <w:r>
        <w:t>15.2 Data Isolation &amp; Privacy</w:t>
      </w:r>
    </w:p>
    <w:p>
      <w:pPr>
        <w:spacing w:line="360" w:lineRule="auto"/>
      </w:pPr>
      <w:r>
        <w:t>PostgreSQL row-level security (RLS) enforces tenant isolation. All queries include WHERE tenant_id = current_tenant_id() automatically. Candidates from tenant-A cannot access eligibility data from tenant-B, even if they somehow bypass JWT validation. This defense-in-depth approach ensures compliance with DPDPA 2023 data isolation requirements.</w:t>
      </w:r>
    </w:p>
    <w:p>
      <w:pPr>
        <w:pStyle w:val="Heading2"/>
      </w:pPr>
      <w:r>
        <w:t>15.3 Encryption at Rest &amp; in Transit</w:t>
      </w:r>
    </w:p>
    <w:p>
      <w:r>
        <w:rPr>
          <w:b/>
        </w:rPr>
        <w:t xml:space="preserve">Data in Transit: </w:t>
      </w:r>
      <w:r>
        <w:t>All API communication is HTTPS/TLS 1.3. Kafka uses SASL/SCRAM for broker authentication.</w:t>
        <w:br/>
      </w:r>
      <w:r>
        <w:rPr>
          <w:b/>
        </w:rPr>
        <w:t xml:space="preserve">Data at Rest: </w:t>
      </w:r>
      <w:r>
        <w:t>PostgreSQL uses pgcrypto extension for sensitive fields (email, phone). Redis uses TLS for replication.</w:t>
      </w:r>
    </w:p>
    <w:p>
      <w:pPr>
        <w:pStyle w:val="Heading2"/>
      </w:pPr>
      <w:r>
        <w:t>15.4 Audit &amp; Compliance</w:t>
      </w:r>
    </w:p>
    <w:p>
      <w:pPr>
        <w:spacing w:line="360" w:lineRule="auto"/>
      </w:pPr>
      <w:r>
        <w:t>All eligibility decisions are logged immutably in ClickHouse audit table with: timestamp, participant_id, old_belt, new_belt, reason, assessor (if manual), and approval_chain. Logs are retained for 3 years per DPDPA 2023 and searchable via admin dashboard for compliance audits.</w:t>
      </w:r>
    </w:p>
    <w:p>
      <w:r>
        <w:br w:type="page"/>
      </w:r>
    </w:p>
    <w:p>
      <w:pPr>
        <w:pStyle w:val="Heading2"/>
      </w:pPr>
      <w:r>
        <w:t>Document Information</w:t>
      </w:r>
    </w:p>
    <w:p>
      <w:r>
        <w:rPr>
          <w:b/>
        </w:rPr>
        <w:t xml:space="preserve">Version: </w:t>
      </w:r>
      <w:r>
        <w:t>1.0</w:t>
        <w:br/>
      </w:r>
      <w:r>
        <w:rPr>
          <w:b/>
        </w:rPr>
        <w:t xml:space="preserve">Last Updated: </w:t>
      </w:r>
      <w:r>
        <w:t>March 10, 2026</w:t>
        <w:br/>
      </w:r>
      <w:r>
        <w:rPr>
          <w:b/>
        </w:rPr>
        <w:t xml:space="preserve">Status: </w:t>
      </w:r>
      <w:r>
        <w:t>Production Ready</w:t>
        <w:br/>
      </w:r>
      <w:r>
        <w:rPr>
          <w:b/>
        </w:rPr>
        <w:t xml:space="preserve">Audience: </w:t>
      </w:r>
      <w:r>
        <w:t>Backend architects, DevOps engineers, platform developers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