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E05400"/>
          <w:sz w:val="64"/>
          <w:szCs w:val="64"/>
        </w:rPr>
        <w:t xml:space="preserve">ECOSKILLER</w:t>
      </w:r>
    </w:p>
    <w:p>
      <w:pPr>
        <w:spacing w:before="80" w:after="200"/>
        <w:jc w:val="center"/>
      </w:pPr>
      <w:r>
        <w:rPr>
          <w:rFonts w:ascii="Arial" w:cs="Arial" w:eastAsia="Arial" w:hAnsi="Arial"/>
          <w:color w:val="4A4A4A"/>
          <w:sz w:val="26"/>
          <w:szCs w:val="26"/>
        </w:rPr>
        <w:t xml:space="preserve">Platform  ·  Observability Stack Technical Reference</w:t>
      </w:r>
    </w:p>
    <w:p>
      <w:pPr>
        <w:pBdr>
          <w:bottom w:val="single" w:color="FF6B00" w:sz="6" w:space="1"/>
        </w:pBdr>
        <w:spacing w:before="80" w:after="100"/>
      </w:pPr>
    </w:p>
    <w:p>
      <w:pPr>
        <w:spacing w:before="200" w:after="0"/>
      </w:pPr>
      <w:r>
        <w:t xml:space="preserve"/>
      </w:r>
    </w:p>
    <w:p>
      <w:pPr>
        <w:spacing w:before="0" w:after="60"/>
        <w:jc w:val="center"/>
      </w:pPr>
      <w:r>
        <w:rPr>
          <w:rFonts w:ascii="Arial" w:cs="Arial" w:eastAsia="Arial" w:hAnsi="Arial"/>
          <w:b/>
          <w:bCs/>
          <w:color w:val="7A2D00"/>
          <w:sz w:val="50"/>
          <w:szCs w:val="50"/>
        </w:rPr>
        <w:t xml:space="preserve">Grafana Dashboard Service</w:t>
      </w:r>
    </w:p>
    <w:p>
      <w:pPr>
        <w:spacing w:before="0" w:after="0"/>
        <w:jc w:val="center"/>
      </w:pPr>
      <w:r>
        <w:rPr>
          <w:rFonts w:ascii="Arial" w:cs="Arial" w:eastAsia="Arial" w:hAnsi="Arial"/>
          <w:i/>
          <w:iCs/>
          <w:color w:val="4A4A4A"/>
          <w:sz w:val="28"/>
          <w:szCs w:val="28"/>
        </w:rPr>
        <w:t xml:space="preserve">Service Description &amp; Architecture Reference</w:t>
      </w:r>
    </w:p>
    <w:p>
      <w:pPr>
        <w:spacing w:before="240" w:after="0"/>
      </w:pPr>
      <w:r>
        <w:t xml:space="preserve"/>
      </w:r>
    </w:p>
    <w:p>
      <w:pPr>
        <w:pBdr>
          <w:bottom w:val="single" w:color="F0C4A0" w:sz="6" w:space="1"/>
        </w:pBdr>
        <w:spacing w:before="80" w:after="100"/>
      </w:pPr>
    </w:p>
    <w:p>
      <w:pPr>
        <w:spacing w:before="300" w:after="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tblGrid>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Service Name</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Grafana Dashboard Service</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Component Suite</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Grafana · Grafana Loki · Grafana Tempo</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Namespace</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ops (k3s)</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Access URL</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grafana.ecoskiller.com (VPN/IAP only)</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Cluster</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k3s · GCP asia-south1 + AWS ap-south-1</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Document Version</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v1.0 · March 2026</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Maintainer</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Ecoskiller Platform Engineering Team</w:t>
            </w:r>
          </w:p>
        </w:tc>
      </w:tr>
      <w:tr>
        <w:tc>
          <w:tcPr>
            <w:tcW w:type="dxa" w:w="2500"/>
            <w:tcBorders>
              <w:top w:val="single" w:color="F0C4A0" w:sz="1"/>
              <w:left w:val="single" w:color="F0C4A0" w:sz="1"/>
              <w:bottom w:val="single" w:color="F0C4A0" w:sz="1"/>
              <w:right w:val="single" w:color="F0C4A0" w:sz="1"/>
            </w:tcBorders>
            <w:shd w:fill="FFF3EA" w:val="clear"/>
            <w:tcMar>
              <w:top w:type="dxa" w:w="90"/>
              <w:left w:type="dxa" w:w="120"/>
              <w:bottom w:type="dxa" w:w="90"/>
              <w:right w:type="dxa" w:w="120"/>
            </w:tcMar>
          </w:tcPr>
          <w:p>
            <w:r>
              <w:rPr>
                <w:rFonts w:ascii="Arial" w:cs="Arial" w:eastAsia="Arial" w:hAnsi="Arial"/>
                <w:b/>
                <w:bCs/>
                <w:color w:val="7A2D00"/>
                <w:sz w:val="19"/>
                <w:szCs w:val="19"/>
              </w:rPr>
              <w:t xml:space="preserve">Status</w:t>
            </w:r>
          </w:p>
        </w:tc>
        <w:tc>
          <w:tcPr>
            <w:tcW w:type="dxa" w:w="3900"/>
            <w:tcBorders>
              <w:top w:val="single" w:color="F0C4A0" w:sz="1"/>
              <w:left w:val="single" w:color="F0C4A0" w:sz="1"/>
              <w:bottom w:val="single" w:color="F0C4A0" w:sz="1"/>
              <w:right w:val="single" w:color="F0C4A0"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Active · Running · Critical Ops Infrastructure</w:t>
            </w:r>
          </w:p>
        </w:tc>
      </w:tr>
    </w:tbl>
    <w:p>
      <w:pPr>
        <w:spacing w:before="400" w:after="0"/>
      </w:pPr>
      <w:r>
        <w:t xml:space="preserve"/>
      </w:r>
    </w:p>
    <w:p>
      <w:r>
        <w:br w:type="page"/>
      </w:r>
    </w:p>
    <w:p>
      <w:pPr>
        <w:pStyle w:val="Heading1"/>
        <w:spacing w:before="360" w:after="100"/>
      </w:pPr>
      <w:r>
        <w:rPr>
          <w:rFonts w:ascii="Arial" w:cs="Arial" w:eastAsia="Arial" w:hAnsi="Arial"/>
          <w:b/>
          <w:bCs/>
          <w:color w:val="7A2D00"/>
          <w:sz w:val="36"/>
          <w:szCs w:val="36"/>
        </w:rPr>
        <w:t xml:space="preserve">1. Service Name</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bCs/>
          <w:color w:val="E05400"/>
          <w:sz w:val="32"/>
          <w:szCs w:val="32"/>
        </w:rPr>
        <w:t xml:space="preserve">Grafana Dashboard Service</w:t>
      </w:r>
    </w:p>
    <w:p>
      <w:pPr>
        <w:spacing w:before="80" w:after="80"/>
      </w:pPr>
      <w:r>
        <w:rPr>
          <w:rFonts w:ascii="Arial" w:cs="Arial" w:eastAsia="Arial" w:hAnsi="Arial"/>
          <w:b w:val="false"/>
          <w:bCs w:val="false"/>
          <w:i w:val="false"/>
          <w:iCs w:val="false"/>
          <w:color w:val="1A1A1A"/>
          <w:sz w:val="22"/>
          <w:szCs w:val="22"/>
        </w:rPr>
        <w:t xml:space="preserve">The Grafana Dashboard Service is the unified observability and visualization layer for the Ecoskiller platform. Deployed in the ops Kubernetes namespace and accessible at grafana.ecoskiller.com (VPN/internal access only), it aggregates metrics from Prometheus, structured logs from Grafana Loki (via Promtail), and distributed traces from Grafana Tempo (via the OpenTelemetry Collector) into a single, queryable, alertable interface. It provides the engineering team, on-call operators, and platform administrators with real-time visibility across all 13 Ecoskiller microservices, all infrastructure layers (PostgreSQL, Redis, Kafka, ClickHouse, MinIO, Kubernetes), and all business-layer SLOs defined in Section 10.1 of the Ecoskiller infrastructure specification. The service covers 8 critical dashboards tracking GD session health, billing integrity, media QoS, authentication anomalies, platform SLO burn rates, and infrastructure cost — making it the single pane of glass for platform operational awareness.</w:t>
      </w:r>
    </w:p>
    <w:p>
      <w:pPr>
        <w:spacing w:before="160" w:after="0"/>
      </w:pPr>
      <w:r>
        <w:t xml:space="preserve"/>
      </w:r>
    </w:p>
    <w:p>
      <w:pPr>
        <w:pStyle w:val="Heading1"/>
        <w:spacing w:before="360" w:after="100"/>
      </w:pPr>
      <w:r>
        <w:rPr>
          <w:rFonts w:ascii="Arial" w:cs="Arial" w:eastAsia="Arial" w:hAnsi="Arial"/>
          <w:b/>
          <w:bCs/>
          <w:color w:val="7A2D00"/>
          <w:sz w:val="36"/>
          <w:szCs w:val="36"/>
        </w:rPr>
        <w:t xml:space="preserve">2. Service Overview</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Within the Ecoskiller event-driven microservices architecture, the Grafana Dashboard Service occupies the apex of the observability stack — it does not produce data but consumes signals from every layer of the platform to surface actionable operational intelligence. It is the only service in the architecture that provides a unified, correlated view across the three observability pillars: metrics (Prometheus), logs (Grafana Loki), and traces (Grafana Tempo).</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service is scoped exclusively to the ops Kubernetes namespace — isolated from business logic namespaces (core, realtime, analytics, billing) by Kubernetes NetworkPolicy. This isolation ensures that observability traffic does not contend with production request traffic, and that observability infrastructure remains operational even under application-layer load. The Grafana instance queries Prometheus for time-series metrics from all 13 microservices and all infrastructure components; queries Loki for structured log streams collected by Promtail DaemonSet from every pod; and queries Tempo for distributed traces ingested from the OpenTelemetry Collector.</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Grafana's alert routing pipeline deserves specific attention: Prometheus Alertmanager evaluates alert rules against scraped metrics and routes P0/P1 incidents to ntfy (self-hosted push notifications → Flutter mobile app) and to the Mattermost #incidents channel. This alert routing is configured in Grafana's unified alerting interface and is the primary incident detection mechanism for the Ecoskiller on-call team. Without the Grafana Dashboard Service, there is no alert path to on-call engineers.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F0C4A0" w:sz="1"/>
              <w:left w:val="single" w:color="F0C4A0" w:sz="1"/>
              <w:bottom w:val="single" w:color="F0C4A0" w:sz="1"/>
              <w:right w:val="single" w:color="F0C4A0" w:sz="1"/>
            </w:tcBorders>
            <w:shd w:fill="E05400"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66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tcPr>
          <w:p>
            <w:r>
              <w:rPr>
                <w:rFonts w:ascii="Arial" w:cs="Arial" w:eastAsia="Arial" w:hAnsi="Arial"/>
                <w:b/>
                <w:bCs/>
                <w:color w:val="7A2D00"/>
                <w:sz w:val="22"/>
                <w:szCs w:val="22"/>
              </w:rPr>
              <w:t xml:space="preserve">Detail</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Service Identifier</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Grafana Dashboard Service</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Component Suite</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Grafana (dashboards + alerting) · Grafana Loki (log aggregation) · Grafana Tempo (trace storage) · Promtail (log collection DaemonSet) · OpenTelemetry Collector (trace ingestion)</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Namespace</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ops (k3s) — isolated from all business logic namespaces</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Access URL</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grafana.ecoskiller.com — NGINX Ingress with VPN/IAP restriction</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Prometheus Endpoint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prometheus.ops.svc.cluster.local:9090</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Loki Endpoint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loki.ops.svc.cluster.local:3100</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Tempo Endpoint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tempo.ops.svc.cluster.local:3100</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Alert Routing</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Prometheus Alertmanager → ntfy (P0/P1 push) + Mattermost #incidents (team channel)</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Dashboards</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8 critical dashboards (Section 10.2) + infrastructure health + SLO burn rate</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Deployment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k3s · GCP asia-south1 · Longhorn PVC for Loki chunk storage and Tempo trace storage</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3. Core Responsibilities</w:t>
      </w:r>
    </w:p>
    <w:p>
      <w:pPr>
        <w:pBdr>
          <w:bottom w:val="single" w:color="FF6B00" w:sz="6" w:space="1"/>
        </w:pBdr>
        <w:spacing w:before="80" w:after="100"/>
      </w:pPr>
    </w:p>
    <w:p>
      <w:pPr>
        <w:spacing w:before="80" w:after="0"/>
      </w:pPr>
      <w:r>
        <w:t xml:space="preserve"/>
      </w:r>
    </w:p>
    <w:p>
      <w:pPr>
        <w:pStyle w:val="Heading2"/>
        <w:spacing w:before="260" w:after="80"/>
      </w:pPr>
      <w:r>
        <w:rPr>
          <w:rFonts w:ascii="Arial" w:cs="Arial" w:eastAsia="Arial" w:hAnsi="Arial"/>
          <w:b/>
          <w:bCs/>
          <w:color w:val="E05400"/>
          <w:sz w:val="28"/>
          <w:szCs w:val="28"/>
        </w:rPr>
        <w:t xml:space="preserve">3.1  Unified Multi-Datasource Dashboard Rendering</w:t>
      </w:r>
    </w:p>
    <w:p>
      <w:pPr>
        <w:spacing w:before="80" w:after="80"/>
      </w:pPr>
      <w:r>
        <w:rPr>
          <w:rFonts w:ascii="Arial" w:cs="Arial" w:eastAsia="Arial" w:hAnsi="Arial"/>
          <w:b w:val="false"/>
          <w:bCs w:val="false"/>
          <w:i w:val="false"/>
          <w:iCs w:val="false"/>
          <w:color w:val="1A1A1A"/>
          <w:sz w:val="22"/>
          <w:szCs w:val="22"/>
        </w:rPr>
        <w:t xml:space="preserve">Grafana serves as the single interface for querying and visualizing data across all observability backends simultaneously. Operators can construct panels that combine a Prometheus metric (e.g., kafka_consumer_lag for the scoring-engine), a Loki log query (e.g., error logs from the same scoring-engine pods in the same time window), and a Tempo trace (e.g., the specific request trace that produced the lag spike) in a single dashboard — without switching tools. This correlated multi-signal view is the primary operational benefit of the Grafana stack over individual monitoring tools.</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3.2  SLO Burn Rate Monitoring and Alerting</w:t>
      </w:r>
    </w:p>
    <w:p>
      <w:pPr>
        <w:spacing w:before="80" w:after="80"/>
      </w:pPr>
      <w:r>
        <w:rPr>
          <w:rFonts w:ascii="Arial" w:cs="Arial" w:eastAsia="Arial" w:hAnsi="Arial"/>
          <w:b w:val="false"/>
          <w:bCs w:val="false"/>
          <w:i w:val="false"/>
          <w:iCs w:val="false"/>
          <w:color w:val="1A1A1A"/>
          <w:sz w:val="22"/>
          <w:szCs w:val="22"/>
        </w:rPr>
        <w:t xml:space="preserve">The Platform SLO Dashboard (Dashboard #7) implements burn rate calculations for all 8 SLO targets defined in Section 10.1 of the Ecoskiller infrastructure specification. Each SLO panel displays the current error rate, the 1-hour and 6-hour burn rates, and a burn rate alert threshold indicator. Prometheus Alertmanager rules evaluate burn rates on configurable windows and fire alerts when burn rates indicate the monthly SLO budget will be exhausted within a projected period. This proactive burn rate alerting prevents SLO violations from being detected only after they have already occurred.</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3.3  GD Session Health Monitoring (Dashboard #1)</w:t>
      </w:r>
    </w:p>
    <w:p>
      <w:pPr>
        <w:spacing w:before="80" w:after="80"/>
      </w:pPr>
      <w:r>
        <w:rPr>
          <w:rFonts w:ascii="Arial" w:cs="Arial" w:eastAsia="Arial" w:hAnsi="Arial"/>
          <w:b w:val="false"/>
          <w:bCs w:val="false"/>
          <w:i w:val="false"/>
          <w:iCs w:val="false"/>
          <w:color w:val="1A1A1A"/>
          <w:sz w:val="22"/>
          <w:szCs w:val="22"/>
        </w:rPr>
        <w:t xml:space="preserve">The GD Session Health dashboard is the most operationally critical dashboard in the Ecoskiller platform, given that the GD Orchestrator is identified as the most critical custom service in the infrastructure specification. It tracks session failure rate (alert threshold: &gt;3% over 1 hour, matching the GD Orchestrator runbook trigger condition), average completion percentage, drop-out rate, per-tenant breakdown, and Redis state machine key status. The dashboard directly supports the GD Session Failure Runbook (Section 11.1) by surfacing the exact Prometheus metrics referenced in the runbook's diagnostic steps.</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3.4  Log Aggregation via Grafana Loki and Promtail</w:t>
      </w:r>
    </w:p>
    <w:p>
      <w:pPr>
        <w:spacing w:before="80" w:after="80"/>
      </w:pPr>
      <w:r>
        <w:rPr>
          <w:rFonts w:ascii="Arial" w:cs="Arial" w:eastAsia="Arial" w:hAnsi="Arial"/>
          <w:b w:val="false"/>
          <w:bCs w:val="false"/>
          <w:i w:val="false"/>
          <w:iCs w:val="false"/>
          <w:color w:val="1A1A1A"/>
          <w:sz w:val="22"/>
          <w:szCs w:val="22"/>
        </w:rPr>
        <w:t xml:space="preserve">Promtail runs as a Kubernetes DaemonSet on every k3s worker node, scraping structured logs from all pod stdout/stderr streams and forwarding them to Grafana Loki. Loki stores logs in compressed chunks on Longhorn PVCs, indexed by Kubernetes labels (namespace, pod, container, app). Grafana queries Loki using LogQL — Loki's log query language — allowing operators to filter logs by service, severity, trace ID, tenant ID, or custom field values. The ability to jump from a Grafana alert directly to the correlated log stream is the core operational workflow for incident investigation.</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3.5  Distributed Trace Visualization via Grafana Tempo</w:t>
      </w:r>
    </w:p>
    <w:p>
      <w:pPr>
        <w:spacing w:before="80" w:after="80"/>
      </w:pPr>
      <w:r>
        <w:rPr>
          <w:rFonts w:ascii="Arial" w:cs="Arial" w:eastAsia="Arial" w:hAnsi="Arial"/>
          <w:b w:val="false"/>
          <w:bCs w:val="false"/>
          <w:i w:val="false"/>
          <w:iCs w:val="false"/>
          <w:color w:val="1A1A1A"/>
          <w:sz w:val="22"/>
          <w:szCs w:val="22"/>
        </w:rPr>
        <w:t xml:space="preserve">Grafana Tempo stores distributed traces ingested from the OpenTelemetry Collector, which receives trace spans from all Ecoskiller microservices instrumented with the OpenTelemetry SDK. Traces are stored on a Longhorn PVC (50 GB recommended for production) and queryable in Grafana via TraceQL or by trace ID. The trace visualization enables engineers to follow a single user request — from NGINX Ingress through auth-service → job-service → Kafka → scoring-engine — as a continuous timeline, identifying the exact service and span where latency spikes or errors occur. This capability is described in the Ecoskiller spec as "essential for diagnosing latency issues in a microservices architecture."</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3.6  Prometheus Alert Rule Management and Routing</w:t>
      </w:r>
    </w:p>
    <w:p>
      <w:pPr>
        <w:spacing w:before="80" w:after="80"/>
      </w:pPr>
      <w:r>
        <w:rPr>
          <w:rFonts w:ascii="Arial" w:cs="Arial" w:eastAsia="Arial" w:hAnsi="Arial"/>
          <w:b w:val="false"/>
          <w:bCs w:val="false"/>
          <w:i w:val="false"/>
          <w:iCs w:val="false"/>
          <w:color w:val="1A1A1A"/>
          <w:sz w:val="22"/>
          <w:szCs w:val="22"/>
        </w:rPr>
        <w:t xml:space="preserve">Grafana's unified alerting interface manages Prometheus alert rules and Alertmanager routing configuration. Alert rules are defined against Prometheus metrics using PromQL expressions with configurable evaluation intervals and pending durations. Alert routing is configured to two channels: ntfy (self-hosted, binwiederhier/ntfy) for P0/P1 mobile push notifications to on-call engineers via the Flutter app (topic: ecoskiller/{tenant_id}/notifications), and Mattermost (self-hosted, mattermost/mattermost-team-edition) for team-channel incident discussion. Grafana OnCall was archived in March 2026 in favor of this ntfy + Mattermost routing model.</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3.7  Infrastructure Cost Visibility via OpenCost (Dashboard #8)</w:t>
      </w:r>
    </w:p>
    <w:p>
      <w:pPr>
        <w:spacing w:before="80" w:after="80"/>
      </w:pPr>
      <w:r>
        <w:rPr>
          <w:rFonts w:ascii="Arial" w:cs="Arial" w:eastAsia="Arial" w:hAnsi="Arial"/>
          <w:b w:val="false"/>
          <w:bCs w:val="false"/>
          <w:i w:val="false"/>
          <w:iCs w:val="false"/>
          <w:color w:val="1A1A1A"/>
          <w:sz w:val="22"/>
          <w:szCs w:val="22"/>
        </w:rPr>
        <w:t xml:space="preserve">The Cost Dashboard integrates OpenCost — a CNCF open-source, self-hosted cost monitoring tool deployed in the ops namespace — as a Grafana datasource. It surfaces GCP and AWS VM costs by node pool, Longhorn storage growth rate, and Kubernetes resource utilization (CPU/memory requests vs. limits vs. actual usage). This dashboard enables the platform engineering team to identify cost inefficiencies — such as oversized node pools during off-peak assessment windows — and optimize k3s worker node pool scaling decisions.</w:t>
      </w:r>
    </w:p>
    <w:p>
      <w:pPr>
        <w:spacing w:before="80" w:after="0"/>
      </w:pPr>
      <w:r>
        <w:t xml:space="preserve"/>
      </w:r>
    </w:p>
    <w:p>
      <w:pPr>
        <w:pStyle w:val="Heading2"/>
        <w:spacing w:before="260" w:after="80"/>
      </w:pPr>
      <w:r>
        <w:rPr>
          <w:rFonts w:ascii="Arial" w:cs="Arial" w:eastAsia="Arial" w:hAnsi="Arial"/>
          <w:b/>
          <w:bCs/>
          <w:color w:val="E05400"/>
          <w:sz w:val="28"/>
          <w:szCs w:val="28"/>
        </w:rPr>
        <w:t xml:space="preserve">3.8  Intelligence Profile and Innovation Engine Analytics Dashboards</w:t>
      </w:r>
    </w:p>
    <w:p>
      <w:pPr>
        <w:spacing w:before="80" w:after="80"/>
      </w:pPr>
      <w:r>
        <w:rPr>
          <w:rFonts w:ascii="Arial" w:cs="Arial" w:eastAsia="Arial" w:hAnsi="Arial"/>
          <w:b w:val="false"/>
          <w:bCs w:val="false"/>
          <w:i w:val="false"/>
          <w:iCs w:val="false"/>
          <w:color w:val="1A1A1A"/>
          <w:sz w:val="22"/>
          <w:szCs w:val="22"/>
        </w:rPr>
        <w:t xml:space="preserve">Beyond platform operations, Grafana provides engineering-facing analytics dashboards for the Intelligence Engine (XI) and Innovation Engine (XII). The Intelligence Evolution Timeline Service explicitly lists Grafana as a dependency for its longitudinal intelligence analytics and profile dashboard data. Similarly, the Innovation Reputation Service and Royalty Audit Service use ClickHouse as a Grafana datasource for rendering innovation scoring history and immutable royalty audit compliance records. These dashboards bridge the gap between ClickHouse analytical data and the operator/engineering UI layer.</w:t>
      </w:r>
    </w:p>
    <w:p>
      <w:pPr>
        <w:spacing w:before="160" w:after="0"/>
      </w:pPr>
      <w:r>
        <w:t xml:space="preserve"/>
      </w:r>
    </w:p>
    <w:p>
      <w:pPr>
        <w:pStyle w:val="Heading1"/>
        <w:spacing w:before="360" w:after="100"/>
      </w:pPr>
      <w:r>
        <w:rPr>
          <w:rFonts w:ascii="Arial" w:cs="Arial" w:eastAsia="Arial" w:hAnsi="Arial"/>
          <w:b/>
          <w:bCs/>
          <w:color w:val="7A2D00"/>
          <w:sz w:val="36"/>
          <w:szCs w:val="36"/>
        </w:rPr>
        <w:t xml:space="preserve">4. Key Features</w:t>
      </w:r>
    </w:p>
    <w:p>
      <w:pPr>
        <w:pBdr>
          <w:bottom w:val="single" w:color="FF6B00" w:sz="6" w:space="1"/>
        </w:pBdr>
        <w:spacing w:before="8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F1</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Three-Pillar Observability in a Single Interface</w:t>
            </w:r>
          </w:p>
          <w:p>
            <w:pPr>
              <w:spacing w:before="60"/>
            </w:pPr>
            <w:r>
              <w:rPr>
                <w:rFonts w:ascii="Arial" w:cs="Arial" w:eastAsia="Arial" w:hAnsi="Arial"/>
                <w:color w:val="4A4A4A"/>
                <w:sz w:val="20"/>
                <w:szCs w:val="20"/>
              </w:rPr>
              <w:t xml:space="preserve">Grafana unifies metrics (Prometheus), logs (Loki via LogQL), and traces (Tempo via TraceQL/trace ID) in a single query interface. A panel in a single dashboard can simultaneously display a Prometheus counter, a Loki log stream filtered by the same time window, and a Tempo trace correlated by trace ID. This eliminates the tool-switching overhead that fragments incident investigation in multi-tool observability stacks and allows engineers to move from alert → log → trace in under 60 seconds.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F2</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8 Pre-Defined Critical Dashboards from Section 10.2</w:t>
            </w:r>
          </w:p>
          <w:p>
            <w:pPr>
              <w:spacing w:before="60"/>
            </w:pPr>
            <w:r>
              <w:rPr>
                <w:rFonts w:ascii="Arial" w:cs="Arial" w:eastAsia="Arial" w:hAnsi="Arial"/>
                <w:color w:val="4A4A4A"/>
                <w:sz w:val="20"/>
                <w:szCs w:val="20"/>
              </w:rPr>
              <w:t xml:space="preserve">The Ecoskiller infrastructure specification defines 8 critical dashboards that the Grafana service is responsible for implementing and maintaining. These cover GD Session Health, Interview No-Show Rate, Scoring Anomaly Detection, Billing Health, Media QoS (Jitsi/coturn), Auth Events, Platform SLO Burn Rate, and Infrastructure Cost (OpenCost). Each dashboard is tied to specific Prometheus alert rules, ensuring that every panel with a threshold violation has a corresponding alert path to the on-call engineer via ntfy and Mattermost.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F3</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SLO Burn Rate Dashboard with Multi-Window Alerting</w:t>
            </w:r>
          </w:p>
          <w:p>
            <w:pPr>
              <w:spacing w:before="60"/>
            </w:pPr>
            <w:r>
              <w:rPr>
                <w:rFonts w:ascii="Arial" w:cs="Arial" w:eastAsia="Arial" w:hAnsi="Arial"/>
                <w:color w:val="4A4A4A"/>
                <w:sz w:val="20"/>
                <w:szCs w:val="20"/>
              </w:rPr>
              <w:t xml:space="preserve">The Platform SLO Dashboard implements Google SRE-style error budget burn rate alerting for all 8 Ecoskiller SLO targets. Burn rate panels display 1-hour and 6-hour burn rates alongside the error rate, giving operators early warning of SLO budget exhaustion before the monthly budget is depleted. Alert rules fire on both fast-burn (high burn rate over short window, indicating a severe incident) and slow-burn (moderate burn rate over long window, indicating a gradual degradation) patterns, following the dual alerting window model.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F4</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Promtail DaemonSet — Zero-Config Log Collection</w:t>
            </w:r>
          </w:p>
          <w:p>
            <w:pPr>
              <w:spacing w:before="60"/>
            </w:pPr>
            <w:r>
              <w:rPr>
                <w:rFonts w:ascii="Arial" w:cs="Arial" w:eastAsia="Arial" w:hAnsi="Arial"/>
                <w:color w:val="4A4A4A"/>
                <w:sz w:val="20"/>
                <w:szCs w:val="20"/>
              </w:rPr>
              <w:t xml:space="preserve">Promtail runs as a Kubernetes DaemonSet on every k3s worker node (GCP and AWS), automatically discovering and tailing logs from all pod stdout/stderr streams without requiring any instrumentation changes to microservice containers. Logs are labeled with Kubernetes metadata (namespace, pod name, container name, app label) at collection time, enabling Loki queries to filter by any label dimension. New microservices added to the cluster are automatically log-collected without Promtail configuration changes.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F5</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Grafana Tempo — Self-Hosted Distributed Trace Storage</w:t>
            </w:r>
          </w:p>
          <w:p>
            <w:pPr>
              <w:spacing w:before="60"/>
            </w:pPr>
            <w:r>
              <w:rPr>
                <w:rFonts w:ascii="Arial" w:cs="Arial" w:eastAsia="Arial" w:hAnsi="Arial"/>
                <w:color w:val="4A4A4A"/>
                <w:sz w:val="20"/>
                <w:szCs w:val="20"/>
              </w:rPr>
              <w:t xml:space="preserve">Grafana Tempo stores traces received from the OpenTelemetry Collector on a Longhorn PVC (50 GB in production). Unlike Jaeger or Zipkin, Tempo is designed for high-volume trace storage without requiring an external index store — it uses object storage (MinIO-compatible) for trace data and a small in-memory index for recent traces. This keeps the ops namespace storage cost predictable. Tempo integrates natively with Grafana: clicking a trace ID in any Grafana panel opens the full trace timeline without leaving the Grafana interface.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F6</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ntfy Push Alert Delivery — No Firebase or APNs Required</w:t>
            </w:r>
          </w:p>
          <w:p>
            <w:pPr>
              <w:spacing w:before="60"/>
            </w:pPr>
            <w:r>
              <w:rPr>
                <w:rFonts w:ascii="Arial" w:cs="Arial" w:eastAsia="Arial" w:hAnsi="Arial"/>
                <w:color w:val="4A4A4A"/>
                <w:sz w:val="20"/>
                <w:szCs w:val="20"/>
              </w:rPr>
              <w:t xml:space="preserve">The Ecoskiller alert delivery chain is entirely self-hosted. Prometheus Alertmanager routes P0/P1 alerts to ntfy (binwiederhier/ntfy:latest), which delivers push notifications directly to the Flutter mobile app via the ntfy HTTP API. The Flutter app subscribes to tenant-scoped ntfy topics (ecoskiller/{tenant_id}/notifications). This architecture eliminates Firebase Cloud Messaging and Apple Push Notification Service dependencies, removing two external SaaS failure points from the critical alert delivery path and avoiding account suspension risk.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F7</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ClickHouse Cross-Namespace Datasource Integration</w:t>
            </w:r>
          </w:p>
          <w:p>
            <w:pPr>
              <w:spacing w:before="60"/>
            </w:pPr>
            <w:r>
              <w:rPr>
                <w:rFonts w:ascii="Arial" w:cs="Arial" w:eastAsia="Arial" w:hAnsi="Arial"/>
                <w:color w:val="4A4A4A"/>
                <w:sz w:val="20"/>
                <w:szCs w:val="20"/>
              </w:rPr>
              <w:t xml:space="preserve">Grafana is configured with a ClickHouse datasource that queries the analytics namespace cross-namespace via Kubernetes Service ClusterIP — allowed by Kubernetes NetworkPolicy (ops → analytics namespace ingress permitted for Grafana queries). This enables Grafana dashboards to render ClickHouse analytical data (GD speaking time distributions, scoring distributions, royalty audit logs, intelligence profile timelines) alongside Prometheus metrics in the same dashboard panels, providing a single interface for both operational and business analytics visualization.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0C4A0" w:sz="1"/>
              <w:left w:val="single" w:color="F0C4A0" w:sz="1"/>
              <w:bottom w:val="single" w:color="F0C4A0" w:sz="1"/>
              <w:right w:val="single" w:color="F0C4A0" w:sz="1"/>
            </w:tcBorders>
            <w:shd w:fill="E0540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F8</w:t>
            </w:r>
          </w:p>
        </w:tc>
        <w:tc>
          <w:tcPr>
            <w:tcW w:type="dxa" w:w="8660"/>
            <w:tcBorders>
              <w:top w:val="single" w:color="F0C4A0" w:sz="1"/>
              <w:left w:val="single" w:color="F0C4A0" w:sz="1"/>
              <w:bottom w:val="single" w:color="F0C4A0" w:sz="1"/>
              <w:right w:val="single" w:color="F0C4A0" w:sz="1"/>
            </w:tcBorders>
            <w:shd w:fill="FAF7F4" w:val="clear"/>
            <w:tcMar>
              <w:top w:type="dxa" w:w="120"/>
              <w:left w:type="dxa" w:w="180"/>
              <w:bottom w:type="dxa" w:w="120"/>
              <w:right w:type="dxa" w:w="120"/>
            </w:tcMar>
          </w:tcPr>
          <w:p>
            <w:r>
              <w:rPr>
                <w:rFonts w:ascii="Arial" w:cs="Arial" w:eastAsia="Arial" w:hAnsi="Arial"/>
                <w:b/>
                <w:bCs/>
                <w:color w:val="7A2D00"/>
                <w:sz w:val="22"/>
                <w:szCs w:val="22"/>
              </w:rPr>
              <w:t xml:space="preserve">Namespace-Isolated Ops Deployment</w:t>
            </w:r>
          </w:p>
          <w:p>
            <w:pPr>
              <w:spacing w:before="60"/>
            </w:pPr>
            <w:r>
              <w:rPr>
                <w:rFonts w:ascii="Arial" w:cs="Arial" w:eastAsia="Arial" w:hAnsi="Arial"/>
                <w:color w:val="4A4A4A"/>
                <w:sz w:val="20"/>
                <w:szCs w:val="20"/>
              </w:rPr>
              <w:t xml:space="preserve">All Grafana stack components (Grafana, Prometheus, Loki, Tempo, Promtail, OTel Collector, ntfy, Mattermost, OpenCost) are deployed exclusively in the ops Kubernetes namespace. NetworkPolicy restricts inbound connections to the ops namespace to: Grafana HTTP from the NGINX Ingress (VPN-gated), Prometheus scrape connections outbound to all namespaces, and Loki inbound from Promtail DaemonSet pods. This isolation ensures observability infrastructure cannot be disrupted by application namespace failures and prevents observability traffic from consuming application service network bandwidth.</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5. Inputs</w:t>
      </w:r>
    </w:p>
    <w:p>
      <w:pPr>
        <w:pBdr>
          <w:bottom w:val="single" w:color="FF6B00" w:sz="6" w:space="1"/>
        </w:pBdr>
        <w:spacing w:before="80" w:after="100"/>
      </w:pPr>
    </w:p>
    <w:p>
      <w:pPr>
        <w:spacing w:before="80" w:after="0"/>
      </w:pPr>
      <w:r>
        <w:t xml:space="preserve"/>
      </w:r>
    </w:p>
    <w:p>
      <w:pPr>
        <w:pStyle w:val="Heading2"/>
        <w:spacing w:before="260" w:after="80"/>
      </w:pPr>
      <w:r>
        <w:rPr>
          <w:rFonts w:ascii="Arial" w:cs="Arial" w:eastAsia="Arial" w:hAnsi="Arial"/>
          <w:b/>
          <w:bCs/>
          <w:color w:val="E05400"/>
          <w:sz w:val="28"/>
          <w:szCs w:val="28"/>
        </w:rPr>
        <w:t xml:space="preserve">5.1  Prometheus Metrics Inputs</w:t>
      </w:r>
    </w:p>
    <w:p>
      <w:pPr>
        <w:spacing w:before="80" w:after="80"/>
      </w:pPr>
      <w:r>
        <w:rPr>
          <w:rFonts w:ascii="Arial" w:cs="Arial" w:eastAsia="Arial" w:hAnsi="Arial"/>
          <w:b w:val="false"/>
          <w:bCs w:val="false"/>
          <w:i w:val="false"/>
          <w:iCs w:val="false"/>
          <w:color w:val="1A1A1A"/>
          <w:sz w:val="22"/>
          <w:szCs w:val="22"/>
        </w:rPr>
        <w:t xml:space="preserve">Prometheus scrapes /metrics endpoints from the following sources, all annotated with prometheus.io/scrape: 'true' in their Kubernetes pod specs: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All 13 Ecoskiller custom microservices — Prometheus client SDK metrics: request rates, error rates, processing latencies (histograms), business counters (per-service custom metrics)</w:t>
      </w:r>
    </w:p>
    <w:p>
      <w:pPr>
        <w:pStyle w:val="ListParagraph"/>
        <w:numPr>
          <w:ilvl w:val="0"/>
          <w:numId w:val="2"/>
        </w:numPr>
        <w:spacing w:before="60" w:after="60"/>
      </w:pPr>
      <w:r>
        <w:rPr>
          <w:rFonts w:ascii="Arial" w:cs="Arial" w:eastAsia="Arial" w:hAnsi="Arial"/>
          <w:b w:val="false"/>
          <w:bCs w:val="false"/>
          <w:color w:val="1A1A1A"/>
          <w:sz w:val="22"/>
          <w:szCs w:val="22"/>
        </w:rPr>
        <w:t xml:space="preserve">Redis StatefulSet — via redis-exporter sidecar (port 9121): memory usage, keyspace hits/misses, command throughput, BGSAVE status, pub/sub channel count</w:t>
      </w:r>
    </w:p>
    <w:p>
      <w:pPr>
        <w:pStyle w:val="ListParagraph"/>
        <w:numPr>
          <w:ilvl w:val="0"/>
          <w:numId w:val="2"/>
        </w:numPr>
        <w:spacing w:before="60" w:after="60"/>
      </w:pPr>
      <w:r>
        <w:rPr>
          <w:rFonts w:ascii="Arial" w:cs="Arial" w:eastAsia="Arial" w:hAnsi="Arial"/>
          <w:b w:val="false"/>
          <w:bCs w:val="false"/>
          <w:color w:val="1A1A1A"/>
          <w:sz w:val="22"/>
          <w:szCs w:val="22"/>
        </w:rPr>
        <w:t xml:space="preserve">PostgreSQL — via postgres-exporter sidecar: query latency (p95 target: &lt;50ms), connection pool usage, replication lag, table bloat</w:t>
      </w:r>
    </w:p>
    <w:p>
      <w:pPr>
        <w:pStyle w:val="ListParagraph"/>
        <w:numPr>
          <w:ilvl w:val="0"/>
          <w:numId w:val="2"/>
        </w:numPr>
        <w:spacing w:before="60" w:after="60"/>
      </w:pPr>
      <w:r>
        <w:rPr>
          <w:rFonts w:ascii="Arial" w:cs="Arial" w:eastAsia="Arial" w:hAnsi="Arial"/>
          <w:b w:val="false"/>
          <w:bCs w:val="false"/>
          <w:color w:val="1A1A1A"/>
          <w:sz w:val="22"/>
          <w:szCs w:val="22"/>
        </w:rPr>
        <w:t xml:space="preserve">Kafka brokers — via kafka-exporter: consumer group lag (alert threshold: &gt;5000 messages for &gt;10 minutes), topic partition count, broker throughput</w:t>
      </w:r>
    </w:p>
    <w:p>
      <w:pPr>
        <w:pStyle w:val="ListParagraph"/>
        <w:numPr>
          <w:ilvl w:val="0"/>
          <w:numId w:val="2"/>
        </w:numPr>
        <w:spacing w:before="60" w:after="60"/>
      </w:pPr>
      <w:r>
        <w:rPr>
          <w:rFonts w:ascii="Arial" w:cs="Arial" w:eastAsia="Arial" w:hAnsi="Arial"/>
          <w:b w:val="false"/>
          <w:bCs w:val="false"/>
          <w:color w:val="1A1A1A"/>
          <w:sz w:val="22"/>
          <w:szCs w:val="22"/>
        </w:rPr>
        <w:t xml:space="preserve">NGINX Ingress — built-in Prometheus metrics: request rate, error rate (HTTP 4xx/5xx), upstream response time, active connections</w:t>
      </w:r>
    </w:p>
    <w:p>
      <w:pPr>
        <w:pStyle w:val="ListParagraph"/>
        <w:numPr>
          <w:ilvl w:val="0"/>
          <w:numId w:val="2"/>
        </w:numPr>
        <w:spacing w:before="60" w:after="60"/>
      </w:pPr>
      <w:r>
        <w:rPr>
          <w:rFonts w:ascii="Arial" w:cs="Arial" w:eastAsia="Arial" w:hAnsi="Arial"/>
          <w:b w:val="false"/>
          <w:bCs w:val="false"/>
          <w:color w:val="1A1A1A"/>
          <w:sz w:val="22"/>
          <w:szCs w:val="22"/>
        </w:rPr>
        <w:t xml:space="preserve">k3s node metrics — kube-state-metrics: CPU/memory requests vs. limits vs. actual usage per pod, node resource utilization, HPA scaling events</w:t>
      </w:r>
    </w:p>
    <w:p>
      <w:pPr>
        <w:pStyle w:val="ListParagraph"/>
        <w:numPr>
          <w:ilvl w:val="0"/>
          <w:numId w:val="2"/>
        </w:numPr>
        <w:spacing w:before="60" w:after="60"/>
      </w:pPr>
      <w:r>
        <w:rPr>
          <w:rFonts w:ascii="Arial" w:cs="Arial" w:eastAsia="Arial" w:hAnsi="Arial"/>
          <w:b w:val="false"/>
          <w:bCs w:val="false"/>
          <w:color w:val="1A1A1A"/>
          <w:sz w:val="22"/>
          <w:szCs w:val="22"/>
        </w:rPr>
        <w:t xml:space="preserve">ClickHouse — via clickhouse-exporter: query latency, insert throughput, part merge rate, disk usage</w:t>
      </w:r>
    </w:p>
    <w:p>
      <w:pPr>
        <w:pStyle w:val="ListParagraph"/>
        <w:numPr>
          <w:ilvl w:val="0"/>
          <w:numId w:val="2"/>
        </w:numPr>
        <w:spacing w:before="60" w:after="60"/>
      </w:pPr>
      <w:r>
        <w:rPr>
          <w:rFonts w:ascii="Arial" w:cs="Arial" w:eastAsia="Arial" w:hAnsi="Arial"/>
          <w:b w:val="false"/>
          <w:bCs w:val="false"/>
          <w:color w:val="1A1A1A"/>
          <w:sz w:val="22"/>
          <w:szCs w:val="22"/>
        </w:rPr>
        <w:t xml:space="preserve">MinIO — built-in Prometheus endpoint: object count, storage usage, request throughput, replication lag to secondary</w:t>
      </w:r>
    </w:p>
    <w:p>
      <w:pPr>
        <w:pStyle w:val="ListParagraph"/>
        <w:numPr>
          <w:ilvl w:val="0"/>
          <w:numId w:val="2"/>
        </w:numPr>
        <w:spacing w:before="60" w:after="60"/>
      </w:pPr>
      <w:r>
        <w:rPr>
          <w:rFonts w:ascii="Arial" w:cs="Arial" w:eastAsia="Arial" w:hAnsi="Arial"/>
          <w:b w:val="false"/>
          <w:bCs w:val="false"/>
          <w:color w:val="1A1A1A"/>
          <w:sz w:val="22"/>
          <w:szCs w:val="22"/>
        </w:rPr>
        <w:t xml:space="preserve">Keycloak — built-in metrics: login success/failure rates, token issuance rates, MFA challenge counts</w:t>
      </w:r>
    </w:p>
    <w:p>
      <w:pPr>
        <w:pStyle w:val="ListParagraph"/>
        <w:numPr>
          <w:ilvl w:val="0"/>
          <w:numId w:val="2"/>
        </w:numPr>
        <w:spacing w:before="60" w:after="60"/>
      </w:pPr>
      <w:r>
        <w:rPr>
          <w:rFonts w:ascii="Arial" w:cs="Arial" w:eastAsia="Arial" w:hAnsi="Arial"/>
          <w:b w:val="false"/>
          <w:bCs w:val="false"/>
          <w:color w:val="1A1A1A"/>
          <w:sz w:val="22"/>
          <w:szCs w:val="22"/>
        </w:rPr>
        <w:t xml:space="preserve">OpenCost — cost metrics: per-pod CPU/memory cost in USD, per-namespace cost breakdown, per-node-pool cost, storage cost by PVC</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5.2  Grafana Loki Log Inputs</w:t>
      </w:r>
    </w:p>
    <w:p>
      <w:pPr>
        <w:spacing w:before="80" w:after="80"/>
      </w:pPr>
      <w:r>
        <w:rPr>
          <w:rFonts w:ascii="Arial" w:cs="Arial" w:eastAsia="Arial" w:hAnsi="Arial"/>
          <w:b w:val="false"/>
          <w:bCs w:val="false"/>
          <w:i w:val="false"/>
          <w:iCs w:val="false"/>
          <w:color w:val="1A1A1A"/>
          <w:sz w:val="22"/>
          <w:szCs w:val="22"/>
        </w:rPr>
        <w:t xml:space="preserve">Promtail DaemonSet collects and forwards logs from:</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All microservice pods in all namespaces (core, realtime, analytics, billing, ops) — stdout/stderr streams labeled with namespace, pod, container, app</w:t>
      </w:r>
    </w:p>
    <w:p>
      <w:pPr>
        <w:pStyle w:val="ListParagraph"/>
        <w:numPr>
          <w:ilvl w:val="0"/>
          <w:numId w:val="2"/>
        </w:numPr>
        <w:spacing w:before="60" w:after="60"/>
      </w:pPr>
      <w:r>
        <w:rPr>
          <w:rFonts w:ascii="Arial" w:cs="Arial" w:eastAsia="Arial" w:hAnsi="Arial"/>
          <w:b w:val="false"/>
          <w:bCs w:val="false"/>
          <w:color w:val="1A1A1A"/>
          <w:sz w:val="22"/>
          <w:szCs w:val="22"/>
        </w:rPr>
        <w:t xml:space="preserve">NGINX Ingress controller access and error logs — structured JSON format for LogQL field filtering</w:t>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system components (kube-system namespace) — apiserver, scheduler, and controller-manager logs for cluster health</w:t>
      </w:r>
    </w:p>
    <w:p>
      <w:pPr>
        <w:pStyle w:val="ListParagraph"/>
        <w:numPr>
          <w:ilvl w:val="0"/>
          <w:numId w:val="2"/>
        </w:numPr>
        <w:spacing w:before="60" w:after="60"/>
      </w:pPr>
      <w:r>
        <w:rPr>
          <w:rFonts w:ascii="Arial" w:cs="Arial" w:eastAsia="Arial" w:hAnsi="Arial"/>
          <w:b w:val="false"/>
          <w:bCs w:val="false"/>
          <w:color w:val="1A1A1A"/>
          <w:sz w:val="22"/>
          <w:szCs w:val="22"/>
        </w:rPr>
        <w:t xml:space="preserve">GitLab Runner pods — CI/CD pipeline execution logs for build failure investigation</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5.3  Grafana Tempo Trace Inputs</w:t>
      </w:r>
    </w:p>
    <w:p>
      <w:pPr>
        <w:spacing w:before="80" w:after="80"/>
      </w:pPr>
      <w:r>
        <w:rPr>
          <w:rFonts w:ascii="Arial" w:cs="Arial" w:eastAsia="Arial" w:hAnsi="Arial"/>
          <w:b w:val="false"/>
          <w:bCs w:val="false"/>
          <w:i w:val="false"/>
          <w:iCs w:val="false"/>
          <w:color w:val="1A1A1A"/>
          <w:sz w:val="22"/>
          <w:szCs w:val="22"/>
        </w:rPr>
        <w:t xml:space="preserve">The OpenTelemetry Collector receives trace spans via OTLP (gRPC on port 4317, HTTP on port 4318) from:</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All 13 Ecoskiller Node.js microservices — instrumented with OpenTelemetry SDK. Kafka header-propagated trace context enables cross-service span correlation.</w:t>
      </w:r>
    </w:p>
    <w:p>
      <w:pPr>
        <w:pStyle w:val="ListParagraph"/>
        <w:numPr>
          <w:ilvl w:val="0"/>
          <w:numId w:val="2"/>
        </w:numPr>
        <w:spacing w:before="60" w:after="60"/>
      </w:pPr>
      <w:r>
        <w:rPr>
          <w:rFonts w:ascii="Arial" w:cs="Arial" w:eastAsia="Arial" w:hAnsi="Arial"/>
          <w:b w:val="false"/>
          <w:bCs w:val="false"/>
          <w:color w:val="1A1A1A"/>
          <w:sz w:val="22"/>
          <w:szCs w:val="22"/>
        </w:rPr>
        <w:t xml:space="preserve">NGINX Ingress — trace context injection at the edge, propagated to upstream services via HTTP headers</w:t>
      </w:r>
    </w:p>
    <w:p>
      <w:pPr>
        <w:pStyle w:val="ListParagraph"/>
        <w:numPr>
          <w:ilvl w:val="0"/>
          <w:numId w:val="2"/>
        </w:numPr>
        <w:spacing w:before="60" w:after="60"/>
      </w:pPr>
      <w:r>
        <w:rPr>
          <w:rFonts w:ascii="Arial" w:cs="Arial" w:eastAsia="Arial" w:hAnsi="Arial"/>
          <w:b w:val="false"/>
          <w:bCs w:val="false"/>
          <w:color w:val="1A1A1A"/>
          <w:sz w:val="22"/>
          <w:szCs w:val="22"/>
        </w:rPr>
        <w:t xml:space="preserve">PostgreSQL query spans — emitted by node-postgres (pg) instrumentation in each 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Redis command spans — emitted by ioredis OpenTelemetry plugin in each service</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5.4  ClickHouse Datasource Query Inputs</w:t>
      </w:r>
    </w:p>
    <w:p>
      <w:pPr>
        <w:spacing w:before="80" w:after="80"/>
      </w:pPr>
      <w:r>
        <w:rPr>
          <w:rFonts w:ascii="Arial" w:cs="Arial" w:eastAsia="Arial" w:hAnsi="Arial"/>
          <w:b w:val="false"/>
          <w:bCs w:val="false"/>
          <w:i w:val="false"/>
          <w:iCs w:val="false"/>
          <w:color w:val="1A1A1A"/>
          <w:sz w:val="22"/>
          <w:szCs w:val="22"/>
        </w:rPr>
        <w:t xml:space="preserve">Grafana queries ClickHouse (analytics namespace) cross-namespace for the following data domains: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GD session metrics — speaking time distributions, completion rates, drop-out rates, per-tenant breakdown</w:t>
      </w:r>
    </w:p>
    <w:p>
      <w:pPr>
        <w:pStyle w:val="ListParagraph"/>
        <w:numPr>
          <w:ilvl w:val="0"/>
          <w:numId w:val="2"/>
        </w:numPr>
        <w:spacing w:before="60" w:after="60"/>
      </w:pPr>
      <w:r>
        <w:rPr>
          <w:rFonts w:ascii="Arial" w:cs="Arial" w:eastAsia="Arial" w:hAnsi="Arial"/>
          <w:b w:val="false"/>
          <w:bCs w:val="false"/>
          <w:color w:val="1A1A1A"/>
          <w:sz w:val="22"/>
          <w:szCs w:val="22"/>
        </w:rPr>
        <w:t xml:space="preserve">Scoring distributions — candidate score histograms, belt eligibility counts, assessment quality metrics</w:t>
      </w:r>
    </w:p>
    <w:p>
      <w:pPr>
        <w:pStyle w:val="ListParagraph"/>
        <w:numPr>
          <w:ilvl w:val="0"/>
          <w:numId w:val="2"/>
        </w:numPr>
        <w:spacing w:before="60" w:after="60"/>
      </w:pPr>
      <w:r>
        <w:rPr>
          <w:rFonts w:ascii="Arial" w:cs="Arial" w:eastAsia="Arial" w:hAnsi="Arial"/>
          <w:b w:val="false"/>
          <w:bCs w:val="false"/>
          <w:color w:val="1A1A1A"/>
          <w:sz w:val="22"/>
          <w:szCs w:val="22"/>
        </w:rPr>
        <w:t xml:space="preserve">Intelligence Engine timelines — longitudinal 8-dimension intelligence vector evolution per candidate</w:t>
      </w:r>
    </w:p>
    <w:p>
      <w:pPr>
        <w:pStyle w:val="ListParagraph"/>
        <w:numPr>
          <w:ilvl w:val="0"/>
          <w:numId w:val="2"/>
        </w:numPr>
        <w:spacing w:before="60" w:after="60"/>
      </w:pPr>
      <w:r>
        <w:rPr>
          <w:rFonts w:ascii="Arial" w:cs="Arial" w:eastAsia="Arial" w:hAnsi="Arial"/>
          <w:b w:val="false"/>
          <w:bCs w:val="false"/>
          <w:color w:val="1A1A1A"/>
          <w:sz w:val="22"/>
          <w:szCs w:val="22"/>
        </w:rPr>
        <w:t xml:space="preserve">Royalty audit logs — immutable compliance records for licensing agreement audit dashboards</w:t>
      </w:r>
    </w:p>
    <w:p>
      <w:pPr>
        <w:pStyle w:val="ListParagraph"/>
        <w:numPr>
          <w:ilvl w:val="0"/>
          <w:numId w:val="2"/>
        </w:numPr>
        <w:spacing w:before="60" w:after="60"/>
      </w:pPr>
      <w:r>
        <w:rPr>
          <w:rFonts w:ascii="Arial" w:cs="Arial" w:eastAsia="Arial" w:hAnsi="Arial"/>
          <w:b w:val="false"/>
          <w:bCs w:val="false"/>
          <w:color w:val="1A1A1A"/>
          <w:sz w:val="22"/>
          <w:szCs w:val="22"/>
        </w:rPr>
        <w:t xml:space="preserve">Funnel analytics — candidate progression rates from application through assessment to hire</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5.5  Human / API Inputs</w:t>
      </w:r>
    </w:p>
    <w:p>
      <w:pPr>
        <w:spacing w:before="80" w:after="80"/>
      </w:pPr>
      <w:r>
        <w:rPr>
          <w:rFonts w:ascii="Arial" w:cs="Arial" w:eastAsia="Arial" w:hAnsi="Arial"/>
          <w:b w:val="false"/>
          <w:bCs w:val="false"/>
          <w:i w:val="false"/>
          <w:iCs w:val="false"/>
          <w:color w:val="1A1A1A"/>
          <w:sz w:val="22"/>
          <w:szCs w:val="22"/>
        </w:rPr>
        <w:t xml:space="preserve">The Grafana web interface at grafana.ecoskiller.com accepts: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Browser requests from authenticated platform engineers and administrators (VPN/IAP required; Keycloak OIDC authentication)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Grafana HTTP API calls from CI/CD pipeline for automated dashboard provisioning (GitLab CI Helm deploy applies Grafana dashboard ConfigMaps)</w:t>
      </w:r>
    </w:p>
    <w:p>
      <w:pPr>
        <w:pStyle w:val="ListParagraph"/>
        <w:numPr>
          <w:ilvl w:val="0"/>
          <w:numId w:val="2"/>
        </w:numPr>
        <w:spacing w:before="60" w:after="60"/>
      </w:pPr>
      <w:r>
        <w:rPr>
          <w:rFonts w:ascii="Arial" w:cs="Arial" w:eastAsia="Arial" w:hAnsi="Arial"/>
          <w:b w:val="false"/>
          <w:bCs w:val="false"/>
          <w:color w:val="1A1A1A"/>
          <w:sz w:val="22"/>
          <w:szCs w:val="22"/>
        </w:rPr>
        <w:t xml:space="preserve">Prometheus Alertmanager webhook — incoming alert state changes from Alertmanager trigger Grafana unified alert panel status updates</w:t>
      </w:r>
    </w:p>
    <w:p>
      <w:pPr>
        <w:pStyle w:val="ListParagraph"/>
        <w:numPr>
          <w:ilvl w:val="0"/>
          <w:numId w:val="2"/>
        </w:numPr>
        <w:spacing w:before="60" w:after="60"/>
      </w:pPr>
      <w:r>
        <w:rPr>
          <w:rFonts w:ascii="Arial" w:cs="Arial" w:eastAsia="Arial" w:hAnsi="Arial"/>
          <w:b w:val="false"/>
          <w:bCs w:val="false"/>
          <w:color w:val="1A1A1A"/>
          <w:sz w:val="22"/>
          <w:szCs w:val="22"/>
        </w:rPr>
        <w:t xml:space="preserve">OpenCost API integration — OpenCost exposes a Prometheus-compatible /metrics endpoint scraped by Prometheus and surfaced in Grafana Cost Dashboard</w:t>
      </w:r>
    </w:p>
    <w:p>
      <w:pPr>
        <w:spacing w:before="160" w:after="0"/>
      </w:pPr>
      <w:r>
        <w:t xml:space="preserve"/>
      </w:r>
    </w:p>
    <w:p>
      <w:pPr>
        <w:pStyle w:val="Heading1"/>
        <w:spacing w:before="360" w:after="100"/>
      </w:pPr>
      <w:r>
        <w:rPr>
          <w:rFonts w:ascii="Arial" w:cs="Arial" w:eastAsia="Arial" w:hAnsi="Arial"/>
          <w:b/>
          <w:bCs/>
          <w:color w:val="7A2D00"/>
          <w:sz w:val="36"/>
          <w:szCs w:val="36"/>
        </w:rPr>
        <w:t xml:space="preserve">6. Outputs</w:t>
      </w:r>
    </w:p>
    <w:p>
      <w:pPr>
        <w:pBdr>
          <w:bottom w:val="single" w:color="FF6B00" w:sz="6" w:space="1"/>
        </w:pBdr>
        <w:spacing w:before="80" w:after="100"/>
      </w:pPr>
    </w:p>
    <w:p>
      <w:pPr>
        <w:spacing w:before="80" w:after="0"/>
      </w:pPr>
      <w:r>
        <w:t xml:space="preserve"/>
      </w:r>
    </w:p>
    <w:p>
      <w:pPr>
        <w:pStyle w:val="Heading2"/>
        <w:spacing w:before="260" w:after="80"/>
      </w:pPr>
      <w:r>
        <w:rPr>
          <w:rFonts w:ascii="Arial" w:cs="Arial" w:eastAsia="Arial" w:hAnsi="Arial"/>
          <w:b/>
          <w:bCs/>
          <w:color w:val="E05400"/>
          <w:sz w:val="28"/>
          <w:szCs w:val="28"/>
        </w:rPr>
        <w:t xml:space="preserve">6.1  Dashboard Visualizations</w:t>
      </w:r>
    </w:p>
    <w:p>
      <w:pPr>
        <w:spacing w:before="80" w:after="80"/>
      </w:pPr>
      <w:r>
        <w:rPr>
          <w:rFonts w:ascii="Arial" w:cs="Arial" w:eastAsia="Arial" w:hAnsi="Arial"/>
          <w:b w:val="false"/>
          <w:bCs w:val="false"/>
          <w:i w:val="false"/>
          <w:iCs w:val="false"/>
          <w:color w:val="1A1A1A"/>
          <w:sz w:val="22"/>
          <w:szCs w:val="22"/>
        </w:rPr>
        <w:t xml:space="preserve">Grafana renders the following 8 critical dashboards plus supporting infrastructure views: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600"/>
        <w:gridCol w:w="2260"/>
      </w:tblGrid>
      <w:tr>
        <w:tc>
          <w:tcPr>
            <w:tcW w:type="dxa" w:w="18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Dashboard Name</w:t>
            </w:r>
          </w:p>
        </w:tc>
        <w:tc>
          <w:tcPr>
            <w:tcW w:type="dxa" w:w="15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Data Sources</w:t>
            </w:r>
          </w:p>
        </w:tc>
        <w:tc>
          <w:tcPr>
            <w:tcW w:type="dxa" w:w="22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Key Panels</w:t>
            </w:r>
          </w:p>
        </w:tc>
        <w:tc>
          <w:tcPr>
            <w:tcW w:type="dxa" w:w="16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Primary Consumers</w:t>
            </w:r>
          </w:p>
        </w:tc>
        <w:tc>
          <w:tcPr>
            <w:tcW w:type="dxa" w:w="226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Alert Triggers</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GD Session Health</w:t>
            </w:r>
          </w:p>
        </w:tc>
        <w:tc>
          <w:tcPr>
            <w:tcW w:type="dxa" w:w="1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ClickHouse</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Failure rate, completion %, drop-out rate, per-tenant breakdown, Redis state</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On-call engineers, platform ops</w:t>
            </w:r>
          </w:p>
        </w:tc>
        <w:tc>
          <w:tcPr>
            <w:tcW w:type="dxa" w:w="22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gd_session_failure_rate &gt; 3% (1h window)</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Interview No-Show Rate</w:t>
            </w:r>
          </w:p>
        </w:tc>
        <w:tc>
          <w:tcPr>
            <w:tcW w:type="dxa" w:w="1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PostgreSQL</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Scheduled vs. attended (7 days), per-recruiter breakdown, per-candidate breakdown</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Recruiter success team, ops</w:t>
            </w:r>
          </w:p>
        </w:tc>
        <w:tc>
          <w:tcPr>
            <w:tcW w:type="dxa" w:w="22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No-show rate &gt; 20% (7-day rolling)</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Scoring Anomaly Detection</w:t>
            </w:r>
          </w:p>
        </w:tc>
        <w:tc>
          <w:tcPr>
            <w:tcW w:type="dxa" w:w="1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ClickHouse</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Score variance &gt; threshold, real-time drill-down, anomalous candidate flags</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Data quality team, on-call</w:t>
            </w:r>
          </w:p>
        </w:tc>
        <w:tc>
          <w:tcPr>
            <w:tcW w:type="dxa" w:w="22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Variance &gt; configured threshold (real-time)</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Billing Health</w:t>
            </w:r>
          </w:p>
        </w:tc>
        <w:tc>
          <w:tcPr>
            <w:tcW w:type="dxa" w:w="1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PostgreSQL</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Failed payments, invoice generation errors, GST discrepancies, payment gateway latency</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Billing team, on-call</w:t>
            </w:r>
          </w:p>
        </w:tc>
        <w:tc>
          <w:tcPr>
            <w:tcW w:type="dxa" w:w="22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Invoice error rate &gt; 0.1% (5m window)</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Media QoS</w:t>
            </w:r>
          </w:p>
        </w:tc>
        <w:tc>
          <w:tcPr>
            <w:tcW w:type="dxa" w:w="1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(Jitsi/coturn)</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Packet loss %, MOS score estimate, coturn relay usage %, bitrate distribution</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Infrastructure team, on-call</w:t>
            </w:r>
          </w:p>
        </w:tc>
        <w:tc>
          <w:tcPr>
            <w:tcW w:type="dxa" w:w="22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Packet loss &gt; 2% (15m window)</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Auth Events</w:t>
            </w:r>
          </w:p>
        </w:tc>
        <w:tc>
          <w:tcPr>
            <w:tcW w:type="dxa" w:w="1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Loki</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Failed logins, MFA bypass attempts, token refresh anomalies, suspicious IP patterns</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Security team, on-call</w:t>
            </w:r>
          </w:p>
        </w:tc>
        <w:tc>
          <w:tcPr>
            <w:tcW w:type="dxa" w:w="22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Failed login rate &gt; 5% (5m window)</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Platform SLO Dashboard</w:t>
            </w:r>
          </w:p>
        </w:tc>
        <w:tc>
          <w:tcPr>
            <w:tcW w:type="dxa" w:w="1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Real-time SLO burn rate for all 8 SLO targets, error budget remaining</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Engineering leads, on-call</w:t>
            </w:r>
          </w:p>
        </w:tc>
        <w:tc>
          <w:tcPr>
            <w:tcW w:type="dxa" w:w="22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Fast-burn: 14x rate over 1h; Slow-burn: 3x over 6h</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Cost Dashboard (OpenCost)</w:t>
            </w:r>
          </w:p>
        </w:tc>
        <w:tc>
          <w:tcPr>
            <w:tcW w:type="dxa" w:w="1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 OpenCost</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GCP + AWS VM costs by node pool, Longhorn storage growth, K8s resource utilization</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Engineering leads, CTO</w:t>
            </w:r>
          </w:p>
        </w:tc>
        <w:tc>
          <w:tcPr>
            <w:tcW w:type="dxa" w:w="22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Cost anomaly: +20% week-over-week</w:t>
            </w:r>
          </w:p>
        </w:tc>
      </w:tr>
    </w:tbl>
    <w:p>
      <w:pPr>
        <w:spacing w:before="100" w:after="0"/>
      </w:pPr>
      <w:r>
        <w:t xml:space="preserve"/>
      </w:r>
    </w:p>
    <w:p>
      <w:pPr>
        <w:pStyle w:val="Heading2"/>
        <w:spacing w:before="260" w:after="80"/>
      </w:pPr>
      <w:r>
        <w:rPr>
          <w:rFonts w:ascii="Arial" w:cs="Arial" w:eastAsia="Arial" w:hAnsi="Arial"/>
          <w:b/>
          <w:bCs/>
          <w:color w:val="E05400"/>
          <w:sz w:val="28"/>
          <w:szCs w:val="28"/>
        </w:rPr>
        <w:t xml:space="preserve">6.2  Prometheus Alertmanager Alert Outputs</w:t>
      </w:r>
    </w:p>
    <w:p>
      <w:pPr>
        <w:spacing w:before="80" w:after="80"/>
      </w:pPr>
      <w:r>
        <w:rPr>
          <w:rFonts w:ascii="Arial" w:cs="Arial" w:eastAsia="Arial" w:hAnsi="Arial"/>
          <w:b w:val="false"/>
          <w:bCs w:val="false"/>
          <w:i w:val="false"/>
          <w:iCs w:val="false"/>
          <w:color w:val="1A1A1A"/>
          <w:sz w:val="22"/>
          <w:szCs w:val="22"/>
        </w:rPr>
        <w:t xml:space="preserve">Evaluated Prometheus alert rules produce alert firing events routed as follows: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000"/>
        <w:gridCol w:w="1900"/>
        <w:gridCol w:w="1960"/>
      </w:tblGrid>
      <w:tr>
        <w:tc>
          <w:tcPr>
            <w:tcW w:type="dxa" w:w="21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Alert Name</w:t>
            </w:r>
          </w:p>
        </w:tc>
        <w:tc>
          <w:tcPr>
            <w:tcW w:type="dxa" w:w="24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Condition</w:t>
            </w:r>
          </w:p>
        </w:tc>
        <w:tc>
          <w:tcPr>
            <w:tcW w:type="dxa" w:w="10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Severity</w:t>
            </w:r>
          </w:p>
        </w:tc>
        <w:tc>
          <w:tcPr>
            <w:tcW w:type="dxa" w:w="19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Routing</w:t>
            </w:r>
          </w:p>
        </w:tc>
        <w:tc>
          <w:tcPr>
            <w:tcW w:type="dxa" w:w="196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Linked Dashboard</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GD Session Failure Rate High</w:t>
            </w:r>
          </w:p>
        </w:tc>
        <w:tc>
          <w:tcPr>
            <w:tcW w:type="dxa" w:w="24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gd_session_failure_rate &gt; 3% over 1h window</w:t>
            </w:r>
          </w:p>
        </w:tc>
        <w:tc>
          <w:tcPr>
            <w:tcW w:type="dxa" w:w="10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E05400"/>
                <w:sz w:val="17"/>
                <w:szCs w:val="17"/>
              </w:rPr>
              <w:t xml:space="preserve">P0</w:t>
            </w:r>
          </w:p>
        </w:tc>
        <w:tc>
          <w:tcPr>
            <w:tcW w:type="dxa" w:w="19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 Session Health</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API Latency p95 Breach</w:t>
            </w:r>
          </w:p>
        </w:tc>
        <w:tc>
          <w:tcPr>
            <w:tcW w:type="dxa" w:w="24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http_request_duration_p95 &gt; 800ms over 5m</w:t>
            </w:r>
          </w:p>
        </w:tc>
        <w:tc>
          <w:tcPr>
            <w:tcW w:type="dxa" w:w="10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Kafka Consumer Lag Critical</w:t>
            </w:r>
          </w:p>
        </w:tc>
        <w:tc>
          <w:tcPr>
            <w:tcW w:type="dxa" w:w="24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kafka_consumer_lag &gt; 5000 for &gt; 10m</w:t>
            </w:r>
          </w:p>
        </w:tc>
        <w:tc>
          <w:tcPr>
            <w:tcW w:type="dxa" w:w="10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WebSocket Stability Drop</w:t>
            </w:r>
          </w:p>
        </w:tc>
        <w:tc>
          <w:tcPr>
            <w:tcW w:type="dxa" w:w="24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interview_ws_stability &lt; 99.9% over 15m</w:t>
            </w:r>
          </w:p>
        </w:tc>
        <w:tc>
          <w:tcPr>
            <w:tcW w:type="dxa" w:w="10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E05400"/>
                <w:sz w:val="17"/>
                <w:szCs w:val="17"/>
              </w:rPr>
              <w:t xml:space="preserve">P0</w:t>
            </w:r>
          </w:p>
        </w:tc>
        <w:tc>
          <w:tcPr>
            <w:tcW w:type="dxa" w:w="19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Interview No-Show Rate</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Auth Login Success Drop</w:t>
            </w:r>
          </w:p>
        </w:tc>
        <w:tc>
          <w:tcPr>
            <w:tcW w:type="dxa" w:w="24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keycloak_login_success_rate &lt; 99.5% over 5m</w:t>
            </w:r>
          </w:p>
        </w:tc>
        <w:tc>
          <w:tcPr>
            <w:tcW w:type="dxa" w:w="10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Auth Events</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PostgreSQL Query Latency</w:t>
            </w:r>
          </w:p>
        </w:tc>
        <w:tc>
          <w:tcPr>
            <w:tcW w:type="dxa" w:w="24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pg_query_p95_latency &gt; 100ms over 5m</w:t>
            </w:r>
          </w:p>
        </w:tc>
        <w:tc>
          <w:tcPr>
            <w:tcW w:type="dxa" w:w="10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Redis BGSAVE Failure</w:t>
            </w:r>
          </w:p>
        </w:tc>
        <w:tc>
          <w:tcPr>
            <w:tcW w:type="dxa" w:w="24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redis_rdb_last_bgsave_status != 1</w:t>
            </w:r>
          </w:p>
        </w:tc>
        <w:tc>
          <w:tcPr>
            <w:tcW w:type="dxa" w:w="10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Infrastructure Health</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Media Packet Loss High</w:t>
            </w:r>
          </w:p>
        </w:tc>
        <w:tc>
          <w:tcPr>
            <w:tcW w:type="dxa" w:w="24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jitsi_packet_loss_percent &gt; 2% over 15m</w:t>
            </w:r>
          </w:p>
        </w:tc>
        <w:tc>
          <w:tcPr>
            <w:tcW w:type="dxa" w:w="10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1565C0"/>
                <w:sz w:val="17"/>
                <w:szCs w:val="17"/>
              </w:rPr>
              <w:t xml:space="preserve">P1</w:t>
            </w:r>
          </w:p>
        </w:tc>
        <w:tc>
          <w:tcPr>
            <w:tcW w:type="dxa" w:w="19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Media QoS</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Billing Invoice Error</w:t>
            </w:r>
          </w:p>
        </w:tc>
        <w:tc>
          <w:tcPr>
            <w:tcW w:type="dxa" w:w="24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billing_invoice_error_rate &gt; 0.1% over 5m</w:t>
            </w:r>
          </w:p>
        </w:tc>
        <w:tc>
          <w:tcPr>
            <w:tcW w:type="dxa" w:w="10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E05400"/>
                <w:sz w:val="17"/>
                <w:szCs w:val="17"/>
              </w:rPr>
              <w:t xml:space="preserve">P0</w:t>
            </w:r>
          </w:p>
        </w:tc>
        <w:tc>
          <w:tcPr>
            <w:tcW w:type="dxa" w:w="19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Billing Health</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SLO Fast Burn Rate</w:t>
            </w:r>
          </w:p>
        </w:tc>
        <w:tc>
          <w:tcPr>
            <w:tcW w:type="dxa" w:w="24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error_budget_burn_rate &gt; 14x over 1h</w:t>
            </w:r>
          </w:p>
        </w:tc>
        <w:tc>
          <w:tcPr>
            <w:tcW w:type="dxa" w:w="10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E05400"/>
                <w:sz w:val="17"/>
                <w:szCs w:val="17"/>
              </w:rPr>
              <w:t xml:space="preserve">P0</w:t>
            </w:r>
          </w:p>
        </w:tc>
        <w:tc>
          <w:tcPr>
            <w:tcW w:type="dxa" w:w="19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ntfy push + Mattermost #incidents</w:t>
            </w:r>
          </w:p>
        </w:tc>
        <w:tc>
          <w:tcPr>
            <w:tcW w:type="dxa" w:w="19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w:t>
            </w:r>
          </w:p>
        </w:tc>
      </w:tr>
    </w:tbl>
    <w:p>
      <w:pPr>
        <w:spacing w:before="100" w:after="0"/>
      </w:pPr>
      <w:r>
        <w:t xml:space="preserve"/>
      </w:r>
    </w:p>
    <w:p>
      <w:pPr>
        <w:pStyle w:val="Heading2"/>
        <w:spacing w:before="260" w:after="80"/>
      </w:pPr>
      <w:r>
        <w:rPr>
          <w:rFonts w:ascii="Arial" w:cs="Arial" w:eastAsia="Arial" w:hAnsi="Arial"/>
          <w:b/>
          <w:bCs/>
          <w:color w:val="E05400"/>
          <w:sz w:val="28"/>
          <w:szCs w:val="28"/>
        </w:rPr>
        <w:t xml:space="preserve">6.3  ntfy Push Notification Output</w:t>
      </w:r>
    </w:p>
    <w:p>
      <w:pPr>
        <w:spacing w:before="80" w:after="80"/>
      </w:pPr>
      <w:r>
        <w:rPr>
          <w:rFonts w:ascii="Arial" w:cs="Arial" w:eastAsia="Arial" w:hAnsi="Arial"/>
          <w:b w:val="false"/>
          <w:bCs w:val="false"/>
          <w:i w:val="false"/>
          <w:iCs w:val="false"/>
          <w:color w:val="1A1A1A"/>
          <w:sz w:val="22"/>
          <w:szCs w:val="22"/>
        </w:rPr>
        <w:t xml:space="preserve">P0 and P1 alerts are delivered to the Ecoskiller Flutter mobile app via the self-hosted ntfy service (binwiederhier/ntfy):</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Delivery target: ntfy HTTP API → Flutter app subscription on ecoskiller/on-call/alerts topic</w:t>
      </w:r>
    </w:p>
    <w:p>
      <w:pPr>
        <w:pStyle w:val="ListParagraph"/>
        <w:numPr>
          <w:ilvl w:val="0"/>
          <w:numId w:val="2"/>
        </w:numPr>
        <w:spacing w:before="60" w:after="60"/>
      </w:pPr>
      <w:r>
        <w:rPr>
          <w:rFonts w:ascii="Arial" w:cs="Arial" w:eastAsia="Arial" w:hAnsi="Arial"/>
          <w:b w:val="false"/>
          <w:bCs w:val="false"/>
          <w:color w:val="1A1A1A"/>
          <w:sz w:val="22"/>
          <w:szCs w:val="22"/>
        </w:rPr>
        <w:t xml:space="preserve">Payload: alert name, severity, firing metric value, alert threshold, time of fire, link to relevant Grafana dashboard panel</w:t>
      </w:r>
    </w:p>
    <w:p>
      <w:pPr>
        <w:pStyle w:val="ListParagraph"/>
        <w:numPr>
          <w:ilvl w:val="0"/>
          <w:numId w:val="2"/>
        </w:numPr>
        <w:spacing w:before="60" w:after="60"/>
      </w:pPr>
      <w:r>
        <w:rPr>
          <w:rFonts w:ascii="Arial" w:cs="Arial" w:eastAsia="Arial" w:hAnsi="Arial"/>
          <w:b w:val="false"/>
          <w:bCs w:val="false"/>
          <w:color w:val="1A1A1A"/>
          <w:sz w:val="22"/>
          <w:szCs w:val="22"/>
        </w:rPr>
        <w:t xml:space="preserve">Platforms: Android and iOS (ntfy native delivery, no Firebase or APNs dependency)</w:t>
      </w:r>
    </w:p>
    <w:p>
      <w:pPr>
        <w:pStyle w:val="ListParagraph"/>
        <w:numPr>
          <w:ilvl w:val="0"/>
          <w:numId w:val="2"/>
        </w:numPr>
        <w:spacing w:before="60" w:after="60"/>
      </w:pPr>
      <w:r>
        <w:rPr>
          <w:rFonts w:ascii="Arial" w:cs="Arial" w:eastAsia="Arial" w:hAnsi="Arial"/>
          <w:b w:val="false"/>
          <w:bCs w:val="false"/>
          <w:color w:val="1A1A1A"/>
          <w:sz w:val="22"/>
          <w:szCs w:val="22"/>
        </w:rPr>
        <w:t xml:space="preserve">Acknowledgment: On-call engineer acknowledges via ntfy app; acknowledgment is logged to Mattermost #incidents thread</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6.4  Mattermost Channel Output</w:t>
      </w:r>
    </w:p>
    <w:p>
      <w:pPr>
        <w:spacing w:before="80" w:after="80"/>
      </w:pPr>
      <w:r>
        <w:rPr>
          <w:rFonts w:ascii="Arial" w:cs="Arial" w:eastAsia="Arial" w:hAnsi="Arial"/>
          <w:b w:val="false"/>
          <w:bCs w:val="false"/>
          <w:i w:val="false"/>
          <w:iCs w:val="false"/>
          <w:color w:val="1A1A1A"/>
          <w:sz w:val="22"/>
          <w:szCs w:val="22"/>
        </w:rPr>
        <w:t xml:space="preserve">All alert events (fire, resolve, acknowledge) are posted to the self-hosted Mattermost #incidents channel (mattermost/mattermost-team-edition):</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Alert fire message: alert name, severity, Grafana panel deep link, runbook link (Section 11 of infra spec), current metric value</w:t>
      </w:r>
    </w:p>
    <w:p>
      <w:pPr>
        <w:pStyle w:val="ListParagraph"/>
        <w:numPr>
          <w:ilvl w:val="0"/>
          <w:numId w:val="2"/>
        </w:numPr>
        <w:spacing w:before="60" w:after="60"/>
      </w:pPr>
      <w:r>
        <w:rPr>
          <w:rFonts w:ascii="Arial" w:cs="Arial" w:eastAsia="Arial" w:hAnsi="Arial"/>
          <w:b w:val="false"/>
          <w:bCs w:val="false"/>
          <w:color w:val="1A1A1A"/>
          <w:sz w:val="22"/>
          <w:szCs w:val="22"/>
        </w:rPr>
        <w:t xml:space="preserve">Alert resolve message: resolution timestamp, total incident duration, auto-resolved vs. manually resolved indicator</w:t>
      </w:r>
    </w:p>
    <w:p>
      <w:pPr>
        <w:pStyle w:val="ListParagraph"/>
        <w:numPr>
          <w:ilvl w:val="0"/>
          <w:numId w:val="2"/>
        </w:numPr>
        <w:spacing w:before="60" w:after="60"/>
      </w:pPr>
      <w:r>
        <w:rPr>
          <w:rFonts w:ascii="Arial" w:cs="Arial" w:eastAsia="Arial" w:hAnsi="Arial"/>
          <w:b w:val="false"/>
          <w:bCs w:val="false"/>
          <w:color w:val="1A1A1A"/>
          <w:sz w:val="22"/>
          <w:szCs w:val="22"/>
        </w:rPr>
        <w:t xml:space="preserve">Grafana annotation: firing and resolution events are written as Grafana annotations on the relevant dashboard panels, creating a visual incident timeline in the dashboard</w:t>
      </w:r>
    </w:p>
    <w:p>
      <w:pPr>
        <w:spacing w:before="160" w:after="0"/>
      </w:pPr>
      <w:r>
        <w:t xml:space="preserve"/>
      </w:r>
    </w:p>
    <w:p>
      <w:pPr>
        <w:pStyle w:val="Heading1"/>
        <w:spacing w:before="360" w:after="100"/>
      </w:pPr>
      <w:r>
        <w:rPr>
          <w:rFonts w:ascii="Arial" w:cs="Arial" w:eastAsia="Arial" w:hAnsi="Arial"/>
          <w:b/>
          <w:bCs/>
          <w:color w:val="7A2D00"/>
          <w:sz w:val="36"/>
          <w:szCs w:val="36"/>
        </w:rPr>
        <w:t xml:space="preserve">7. Dependencies</w:t>
      </w:r>
    </w:p>
    <w:p>
      <w:pPr>
        <w:pBdr>
          <w:bottom w:val="single" w:color="FF6B00" w:sz="6" w:space="1"/>
        </w:pBdr>
        <w:spacing w:before="80" w:after="100"/>
      </w:pPr>
    </w:p>
    <w:p>
      <w:pPr>
        <w:spacing w:before="80" w:after="0"/>
      </w:pPr>
      <w:r>
        <w:t xml:space="preserve"/>
      </w:r>
    </w:p>
    <w:p>
      <w:pPr>
        <w:pStyle w:val="Heading2"/>
        <w:spacing w:before="260" w:after="80"/>
      </w:pPr>
      <w:r>
        <w:rPr>
          <w:rFonts w:ascii="Arial" w:cs="Arial" w:eastAsia="Arial" w:hAnsi="Arial"/>
          <w:b/>
          <w:bCs/>
          <w:color w:val="E05400"/>
          <w:sz w:val="28"/>
          <w:szCs w:val="28"/>
        </w:rPr>
        <w:t xml:space="preserve">7.1  Datasource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500"/>
        <w:gridCol w:w="1660"/>
      </w:tblGrid>
      <w:tr>
        <w:tc>
          <w:tcPr>
            <w:tcW w:type="dxa" w:w="18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Datasource</w:t>
            </w:r>
          </w:p>
        </w:tc>
        <w:tc>
          <w:tcPr>
            <w:tcW w:type="dxa" w:w="12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Type</w:t>
            </w:r>
          </w:p>
        </w:tc>
        <w:tc>
          <w:tcPr>
            <w:tcW w:type="dxa" w:w="22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Endpoint</w:t>
            </w:r>
          </w:p>
        </w:tc>
        <w:tc>
          <w:tcPr>
            <w:tcW w:type="dxa" w:w="25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Data Coverage</w:t>
            </w:r>
          </w:p>
        </w:tc>
        <w:tc>
          <w:tcPr>
            <w:tcW w:type="dxa" w:w="166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Namespace</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Prometheus</w:t>
            </w:r>
          </w:p>
        </w:tc>
        <w:tc>
          <w:tcPr>
            <w:tcW w:type="dxa" w:w="1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Metrics (PromQL)</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prometheus.ops.svc.cluster.local:9090</w:t>
            </w:r>
          </w:p>
        </w:tc>
        <w:tc>
          <w:tcPr>
            <w:tcW w:type="dxa" w:w="2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All microservice + infra metrics. Alert rule evaluation.</w:t>
            </w:r>
          </w:p>
        </w:tc>
        <w:tc>
          <w:tcPr>
            <w:tcW w:type="dxa" w:w="16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ops</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Grafana Loki</w:t>
            </w:r>
          </w:p>
        </w:tc>
        <w:tc>
          <w:tcPr>
            <w:tcW w:type="dxa" w:w="1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Logs (LogQL)</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loki.ops.svc.cluster.local:3100</w:t>
            </w:r>
          </w:p>
        </w:tc>
        <w:tc>
          <w:tcPr>
            <w:tcW w:type="dxa" w:w="2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All pod logs from all k3s namespaces via Promtail DaemonSet.</w:t>
            </w:r>
          </w:p>
        </w:tc>
        <w:tc>
          <w:tcPr>
            <w:tcW w:type="dxa" w:w="16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ops</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Grafana Tempo</w:t>
            </w:r>
          </w:p>
        </w:tc>
        <w:tc>
          <w:tcPr>
            <w:tcW w:type="dxa" w:w="1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Traces (TraceQL)</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tempo.ops.svc.cluster.local:3100</w:t>
            </w:r>
          </w:p>
        </w:tc>
        <w:tc>
          <w:tcPr>
            <w:tcW w:type="dxa" w:w="2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Distributed traces from OTel Collector (all 13 microservices).</w:t>
            </w:r>
          </w:p>
        </w:tc>
        <w:tc>
          <w:tcPr>
            <w:tcW w:type="dxa" w:w="16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ops</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ClickHouse</w:t>
            </w:r>
          </w:p>
        </w:tc>
        <w:tc>
          <w:tcPr>
            <w:tcW w:type="dxa" w:w="1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Analytics (SQL)</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clickhouse.analytics.svc:9000</w:t>
            </w:r>
          </w:p>
        </w:tc>
        <w:tc>
          <w:tcPr>
            <w:tcW w:type="dxa" w:w="2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GD metrics, scoring data, intelligence timelines, royalty audit.</w:t>
            </w:r>
          </w:p>
        </w:tc>
        <w:tc>
          <w:tcPr>
            <w:tcW w:type="dxa" w:w="16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analytics</w:t>
            </w:r>
          </w:p>
        </w:tc>
      </w:tr>
      <w:tr>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OpenCost</w:t>
            </w:r>
          </w:p>
        </w:tc>
        <w:tc>
          <w:tcPr>
            <w:tcW w:type="dxa" w:w="1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Cost (PromQL)</w:t>
            </w:r>
          </w:p>
        </w:tc>
        <w:tc>
          <w:tcPr>
            <w:tcW w:type="dxa" w:w="22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opencost.ops.svc.cluster.local:9090</w:t>
            </w:r>
          </w:p>
        </w:tc>
        <w:tc>
          <w:tcPr>
            <w:tcW w:type="dxa" w:w="25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GCP + AWS VM costs, storage costs, K8s resource utilization.</w:t>
            </w:r>
          </w:p>
        </w:tc>
        <w:tc>
          <w:tcPr>
            <w:tcW w:type="dxa" w:w="16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ops</w:t>
            </w:r>
          </w:p>
        </w:tc>
      </w:tr>
      <w:tr>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PostgreSQL</w:t>
            </w:r>
          </w:p>
        </w:tc>
        <w:tc>
          <w:tcPr>
            <w:tcW w:type="dxa" w:w="1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SQL (direct)</w:t>
            </w:r>
          </w:p>
        </w:tc>
        <w:tc>
          <w:tcPr>
            <w:tcW w:type="dxa" w:w="22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postgres.core.svc.cluster.local:5432</w:t>
            </w:r>
          </w:p>
        </w:tc>
        <w:tc>
          <w:tcPr>
            <w:tcW w:type="dxa" w:w="25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Raw query latency stats, connection pool metrics for ops dashboards.</w:t>
            </w:r>
          </w:p>
        </w:tc>
        <w:tc>
          <w:tcPr>
            <w:tcW w:type="dxa" w:w="16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core</w:t>
            </w:r>
          </w:p>
        </w:tc>
      </w:tr>
    </w:tbl>
    <w:p>
      <w:pPr>
        <w:spacing w:before="100" w:after="0"/>
      </w:pPr>
      <w:r>
        <w:t xml:space="preserve"/>
      </w:r>
    </w:p>
    <w:p>
      <w:pPr>
        <w:pStyle w:val="Heading2"/>
        <w:spacing w:before="260" w:after="80"/>
      </w:pPr>
      <w:r>
        <w:rPr>
          <w:rFonts w:ascii="Arial" w:cs="Arial" w:eastAsia="Arial" w:hAnsi="Arial"/>
          <w:b/>
          <w:bCs/>
          <w:color w:val="E05400"/>
          <w:sz w:val="28"/>
          <w:szCs w:val="28"/>
        </w:rPr>
        <w:t xml:space="preserve">7.2  Infrastructure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F0C4A0" w:sz="1"/>
              <w:left w:val="single" w:color="F0C4A0" w:sz="1"/>
              <w:bottom w:val="single" w:color="F0C4A0" w:sz="1"/>
              <w:right w:val="single" w:color="F0C4A0" w:sz="1"/>
            </w:tcBorders>
            <w:shd w:fill="E05400" w:val="clear"/>
            <w:tcMar>
              <w:top w:type="dxa" w:w="100"/>
              <w:left w:type="dxa" w:w="150"/>
              <w:bottom w:type="dxa" w:w="100"/>
              <w:right w:type="dxa" w:w="150"/>
            </w:tcMar>
            <w:vAlign w:val="center"/>
          </w:tcPr>
          <w:p>
            <w:r>
              <w:rPr>
                <w:rFonts w:ascii="Arial" w:cs="Arial" w:eastAsia="Arial" w:hAnsi="Arial"/>
                <w:b/>
                <w:bCs/>
                <w:color w:val="FFFFFF"/>
                <w:sz w:val="22"/>
                <w:szCs w:val="22"/>
              </w:rPr>
              <w:t xml:space="preserve">Component</w:t>
            </w:r>
          </w:p>
        </w:tc>
        <w:tc>
          <w:tcPr>
            <w:tcW w:type="dxa" w:w="666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tcPr>
          <w:p>
            <w:r>
              <w:rPr>
                <w:rFonts w:ascii="Arial" w:cs="Arial" w:eastAsia="Arial" w:hAnsi="Arial"/>
                <w:b/>
                <w:bCs/>
                <w:color w:val="7A2D00"/>
                <w:sz w:val="22"/>
                <w:szCs w:val="22"/>
              </w:rPr>
              <w:t xml:space="preserve">Dependency Type &amp; Purpose</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Prometheus</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Core metrics backend. Evaluates alert rules. Grafana cannot render metric panels or fire alerts without Prometheus.</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Grafana Loki + Promtail</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Log aggregation backend. Promtail DaemonSet collects pod logs cluster-wide. Loki stores and indexes for LogQL queries.</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Grafana Tempo</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Trace storage backend. Receives from OTel Collector. Stores on Longhorn PVC. Grafana queries via TraceQL.</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OpenTelemetry Collector</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Trace ingestion pipeline. Receives OTLP spans from all microservices, batches, and exports to Tempo.</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ntfy (binwiederhier/ntfy)</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P0/P1 alert push delivery to Flutter mobile app. Deployed in ops namespace alongside Grafana.</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Mattermost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Team incident channel. Receives alert fire/resolve webhook from Alertmanager. Deployed in ops namespace.</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OpenCost</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Cost metrics source. CNCF open-source, self-hosted in ops namespace. Grafana Cost Dashboard datasource.</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Kubernetes NGINX Ingress</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External HTTPS routing for grafana.ecoskiller.com. TLS termination. VPN/IAP access restriction annotation.</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Keycloak</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Authentication for Grafana web UI (Keycloak OIDC datasource or OAuth2 proxy). Role-based access to dashboards.</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Longhorn (PVC)</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Persistent storage for Loki chunk data and Tempo trace data. 50 GB recommended for Tempo in production.</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k3s worker node pool</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Grafana stack runs on the analytics/ops worker node pool (GCP n2-standard-8, 1 node, 200 GB SSD per spec).</w:t>
            </w:r>
          </w:p>
        </w:tc>
      </w:tr>
      <w:tr>
        <w:tc>
          <w:tcPr>
            <w:tcW w:type="dxa" w:w="2700"/>
            <w:tcBorders>
              <w:top w:val="single" w:color="F0C4A0" w:sz="1"/>
              <w:left w:val="single" w:color="F0C4A0" w:sz="1"/>
              <w:bottom w:val="single" w:color="F0C4A0" w:sz="1"/>
              <w:right w:val="single" w:color="F0C4A0" w:sz="1"/>
            </w:tcBorders>
            <w:shd w:fill="FFF3EA" w:val="clear"/>
            <w:tcMar>
              <w:top w:type="dxa" w:w="100"/>
              <w:left w:type="dxa" w:w="150"/>
              <w:bottom w:type="dxa" w:w="100"/>
              <w:right w:type="dxa" w:w="150"/>
            </w:tcMar>
            <w:vAlign w:val="center"/>
          </w:tcPr>
          <w:p>
            <w:r>
              <w:rPr>
                <w:rFonts w:ascii="Arial" w:cs="Arial" w:eastAsia="Arial" w:hAnsi="Arial"/>
                <w:b/>
                <w:bCs/>
                <w:color w:val="7A2D00"/>
                <w:sz w:val="20"/>
                <w:szCs w:val="20"/>
              </w:rPr>
              <w:t xml:space="preserve">PowerDNS</w:t>
            </w:r>
          </w:p>
        </w:tc>
        <w:tc>
          <w:tcPr>
            <w:tcW w:type="dxa" w:w="6660"/>
            <w:tcBorders>
              <w:top w:val="single" w:color="F0C4A0" w:sz="1"/>
              <w:left w:val="single" w:color="F0C4A0" w:sz="1"/>
              <w:bottom w:val="single" w:color="F0C4A0" w:sz="1"/>
              <w:right w:val="single" w:color="F0C4A0"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DNS A record for grafana.ecoskiller.com → MetalLB VIP → NGINX Ingress. Internal DNS resolution.</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8. Tech Stack</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Grafana Dashboard Service is an infrastructure service — it uses no custom application code. All components are deployed from upstream open-source Docker images, managed via Helm charts in the ops namespace.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F0C4A0" w:sz="1"/>
              <w:left w:val="single" w:color="F0C4A0" w:sz="1"/>
              <w:bottom w:val="single" w:color="F0C4A0" w:sz="1"/>
              <w:right w:val="single" w:color="F0C4A0" w:sz="1"/>
            </w:tcBorders>
            <w:shd w:fill="E05400"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400"/>
            <w:tcBorders>
              <w:top w:val="single" w:color="F0C4A0" w:sz="1"/>
              <w:left w:val="single" w:color="F0C4A0" w:sz="1"/>
              <w:bottom w:val="single" w:color="F0C4A0" w:sz="1"/>
              <w:right w:val="single" w:color="F0C4A0" w:sz="1"/>
            </w:tcBorders>
            <w:shd w:fill="E05400"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360"/>
            <w:tcBorders>
              <w:top w:val="single" w:color="F0C4A0" w:sz="1"/>
              <w:left w:val="single" w:color="F0C4A0" w:sz="1"/>
              <w:bottom w:val="single" w:color="F0C4A0" w:sz="1"/>
              <w:right w:val="single" w:color="F0C4A0" w:sz="1"/>
            </w:tcBorders>
            <w:shd w:fill="E05400" w:val="clear"/>
            <w:tcMar>
              <w:top w:type="dxa" w:w="90"/>
              <w:left w:type="dxa" w:w="130"/>
              <w:bottom w:type="dxa" w:w="90"/>
              <w:right w:type="dxa" w:w="130"/>
            </w:tcMar>
          </w:tcPr>
          <w:p>
            <w:r>
              <w:rPr>
                <w:rFonts w:ascii="Arial" w:cs="Arial" w:eastAsia="Arial" w:hAnsi="Arial"/>
                <w:b/>
                <w:bCs/>
                <w:color w:val="FFFFFF"/>
                <w:sz w:val="20"/>
                <w:szCs w:val="20"/>
              </w:rPr>
              <w:t xml:space="preserve">Role in Grafana Stack</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Grafana</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Primary dashboard and alerting UI. Unified interface for Prometheus, Loki, Tempo, ClickHouse, and OpenCost datasources. Serves grafana.ecoskiller.com.</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grafana/grafana</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Grafana Docker image. Deployed as Kubernetes Deployment in ops namespace. Longhorn PVC for dashboard JSON storage and alert state.</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Prometheus</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Time-series metrics database. Scrapes /metrics endpoints from all pods annotated with prometheus.io/scrape: true. Evaluates alert rules.</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prom/prometheus</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Prometheus Docker image. Deployed as Kubernetes Deployment in ops namespace.</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Prometheus Alertmanager</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Alert routing and deduplication. Routes P0/P1 to ntfy and Mattermost webhooks. Deployed alongside Prometheus.</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Grafana Loki</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Log aggregation and storage backend. Receives log streams from Promtail. Stores compressed chunks on Longhorn PVC. LogQL query interface.</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grafana/loki</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Loki Docker image. Deployed in ops namespace. Configured with filesystem storage on Longhorn PVC.</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Promtail</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Log collection DaemonSet. Runs on every k3s worker node. Discovers and tails pod logs. Forwards to Loki with Kubernetes label enrichment.</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grafana/promtail</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Promtail Docker image. Deployed as DaemonSet — one pod per node on all GCP and AWS worker nodes.</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Grafana Tempo</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Distributed trace storage backend. Receives OTLP traces from OTel Collector. Stores on Longhorn PVC (50 GB prod). TraceQL query interface.</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grafana/tempo</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Tempo Docker image. Deployed in ops namespace. No external index — trace data stored as object storage on Longhorn.</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OpenTelemetry Collector</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Trace ingestion pipeline. Receives OTLP gRPC/HTTP spans from microservices. Batches via memory_limiter. Exports to Tempo via mTLS.</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otel/opentelemetry-collector</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OTel Collector Docker image. Deployed as Deployment in ops namespace. Config: receivers [otlp], processors [batch, memory_limiter], exporters [otlp/grafana].</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ntfy</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 push notification server. Receives P0/P1 webhooks from Alertmanager. Delivers to Flutter app. No Firebase/APNs required.</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binwiederhier/ntfy</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ntfy Docker image. Deployed in ops namespace. Alert topic: ecoskiller/on-call/alerts.</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Mattermost</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 team chat. Receives alert webhook from Alertmanager for #incidents channel. Team incident discussion platform.</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mattermost/mattermost-team-edition</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Mattermost Docker image. Deployed in ops namespace. PostgreSQL-backed message storage.</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OpenCost</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CNCF open-source Kubernetes cost monitoring. Exposes per-pod, per-namespace, per-node-pool cost metrics. Grafana datasource for Cost Dashboard.</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Kubernetes (k3s)</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CNCF</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Pod scheduling for all ops namespace components. NetworkPolicy isolates ops from business namespaces. Longhorn PVC provisioning.</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Helm</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v3.x</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Deployment management for all obs stack components. Dashboard JSON provisioned via Grafana dashboard ConfigMaps in Helm chart.</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Longhorn</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Persistent volume provisioner for Loki chunk storage, Tempo trace storage, Grafana dashboard storage, and Mattermost data.</w:t>
            </w:r>
          </w:p>
        </w:tc>
      </w:tr>
      <w:tr>
        <w:tc>
          <w:tcPr>
            <w:tcW w:type="dxa" w:w="26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bCs/>
                <w:color w:val="7A2D00"/>
                <w:sz w:val="20"/>
                <w:szCs w:val="20"/>
              </w:rPr>
              <w:t xml:space="preserve">PowerDNS</w:t>
            </w:r>
          </w:p>
        </w:tc>
        <w:tc>
          <w:tcPr>
            <w:tcW w:type="dxa" w:w="140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AF7F4" w:val="clear"/>
            <w:tcMar>
              <w:top w:type="dxa" w:w="85"/>
              <w:left w:type="dxa" w:w="130"/>
              <w:bottom w:type="dxa" w:w="85"/>
              <w:right w:type="dxa" w:w="130"/>
            </w:tcMar>
          </w:tcPr>
          <w:p>
            <w:r>
              <w:rPr>
                <w:rFonts w:ascii="Arial" w:cs="Arial" w:eastAsia="Arial" w:hAnsi="Arial"/>
                <w:b w:val="false"/>
                <w:bCs w:val="false"/>
                <w:color w:val="4A4A4A"/>
                <w:sz w:val="20"/>
                <w:szCs w:val="20"/>
              </w:rPr>
              <w:t xml:space="preserve">DNS A record management for grafana.ecoskiller.com → MetalLB VIP.</w:t>
            </w:r>
          </w:p>
        </w:tc>
      </w:tr>
      <w:tr>
        <w:tc>
          <w:tcPr>
            <w:tcW w:type="dxa" w:w="26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bCs/>
                <w:color w:val="7A2D00"/>
                <w:sz w:val="20"/>
                <w:szCs w:val="20"/>
              </w:rPr>
              <w:t xml:space="preserve">NGINX Ingress</w:t>
            </w:r>
          </w:p>
        </w:tc>
        <w:tc>
          <w:tcPr>
            <w:tcW w:type="dxa" w:w="140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360"/>
            <w:tcBorders>
              <w:top w:val="single" w:color="F0C4A0" w:sz="1"/>
              <w:left w:val="single" w:color="F0C4A0" w:sz="1"/>
              <w:bottom w:val="single" w:color="F0C4A0" w:sz="1"/>
              <w:right w:val="single" w:color="F0C4A0"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External HTTPS routing for grafana.ecoskiller.com. VPN/IAP access restriction. TLS termination via cert-manager.</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9. Business Value</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Grafana Dashboard Service delivers business value across four strategic dimensions of Ecoskiller platform operations:</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9.1  Incident Detection and Mean Time to Resolution (MTTR) Reduction</w:t>
      </w:r>
    </w:p>
    <w:p>
      <w:pPr>
        <w:spacing w:before="80" w:after="80"/>
      </w:pPr>
      <w:r>
        <w:rPr>
          <w:rFonts w:ascii="Arial" w:cs="Arial" w:eastAsia="Arial" w:hAnsi="Arial"/>
          <w:b w:val="false"/>
          <w:bCs w:val="false"/>
          <w:i w:val="false"/>
          <w:iCs w:val="false"/>
          <w:color w:val="1A1A1A"/>
          <w:sz w:val="22"/>
          <w:szCs w:val="22"/>
        </w:rPr>
        <w:t xml:space="preserve">Without Grafana's unified alerting and dashboard infrastructure, the Ecoskiller on-call team would have no automated path to incident detection. The platform's SLO targets — 99.5% API success rate, 99% GD session completion, 99.9% WebSocket stability, &lt;50ms PostgreSQL p95 query latency — would be unmonitorable, and violations would be detected only through candidate or recruiter complaints. Grafana's SLO burn rate alerting provides proactive detection: engineers are notified via ntfy push alert before the monthly error budget is exhausted, typically reducing MTTR from hours (complaint-driven detection) to minutes (automated alert detection). For a B2B SaaS platform where enterprise clients pay per assessment cycle, minimizing session failures and maximizing assessment completion rates directly protects contract renewal rates.</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9.2  Operational Confidence for the Most Critical Custom Service</w:t>
      </w:r>
    </w:p>
    <w:p>
      <w:pPr>
        <w:spacing w:before="80" w:after="80"/>
      </w:pPr>
      <w:r>
        <w:rPr>
          <w:rFonts w:ascii="Arial" w:cs="Arial" w:eastAsia="Arial" w:hAnsi="Arial"/>
          <w:b w:val="false"/>
          <w:bCs w:val="false"/>
          <w:i w:val="false"/>
          <w:iCs w:val="false"/>
          <w:color w:val="1A1A1A"/>
          <w:sz w:val="22"/>
          <w:szCs w:val="22"/>
        </w:rPr>
        <w:t xml:space="preserve">The GD Orchestrator is identified in the Ecoskiller infrastructure specification as the most critical custom service on the platform. It replaces human moderators entirely — if it fails mid-session, candidates experience a broken assessment with no fallback. The GD Session Health dashboard (Dashboard #1) provides the exact operational visibility required by the GD Session Failure Runbook (Section 11.1): session failure rate, Redis state machine key status, GD Orchestrator log stream, and Kafka lag on the gd.completed consumer. This dashboard-runbook integration means on-call engineers execute a documented, data-driven incident response rather than free-form debugging — reducing mean time to recovery for the platform's most revenue-critical service.</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9.3  End-to-End Trace Visibility Across a Distributed System</w:t>
      </w:r>
    </w:p>
    <w:p>
      <w:pPr>
        <w:spacing w:before="80" w:after="80"/>
      </w:pPr>
      <w:r>
        <w:rPr>
          <w:rFonts w:ascii="Arial" w:cs="Arial" w:eastAsia="Arial" w:hAnsi="Arial"/>
          <w:b w:val="false"/>
          <w:bCs w:val="false"/>
          <w:i w:val="false"/>
          <w:iCs w:val="false"/>
          <w:color w:val="1A1A1A"/>
          <w:sz w:val="22"/>
          <w:szCs w:val="22"/>
        </w:rPr>
        <w:t xml:space="preserve">Ecoskiller's event-driven microservices architecture — 13 services communicating via Kafka and REST across two cloud regions — produces a class of latency problems that are uniquely difficult to diagnose without distributed tracing. A slow scoring-engine response could be caused by a slow PostgreSQL query in the scoring-engine, a high-latency Kafka consume operation, a slow upstream auth-service JWT validation, or network congestion between GCP and AWS. Without Grafana Tempo and the OpenTelemetry trace pipeline, isolating the root cause requires log correlation across multiple services — a process that takes 30-60 minutes of manual investigation. With Grafana Tempo, an engineer can identify the slow span from the end-to-end trace in under 2 minutes, dramatically compressing the diagnostic phase of any latency incident.</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9.4  Infrastructure Cost Control for a Self-Managed Multi-Cloud Deployment</w:t>
      </w:r>
    </w:p>
    <w:p>
      <w:pPr>
        <w:spacing w:before="80" w:after="80"/>
      </w:pPr>
      <w:r>
        <w:rPr>
          <w:rFonts w:ascii="Arial" w:cs="Arial" w:eastAsia="Arial" w:hAnsi="Arial"/>
          <w:b w:val="false"/>
          <w:bCs w:val="false"/>
          <w:i w:val="false"/>
          <w:iCs w:val="false"/>
          <w:color w:val="1A1A1A"/>
          <w:sz w:val="22"/>
          <w:szCs w:val="22"/>
        </w:rPr>
        <w:t xml:space="preserve">Ecoskiller's decision to use self-managed k3s on GCP and AWS VMs (rather than managed Kubernetes services) eliminates managed Kubernetes fees but requires active infrastructure cost management to prevent unexpected cloud spend growth. The Cost Dashboard (Dashboard #8), powered by OpenCost, provides per-node-pool and per-namespace cost visibility that enables the platform engineering team to identify oversized worker pools, unused storage PVCs, and inefficient resource requests. For a startup-stage B2B SaaS platform where infrastructure cost directly affects runway, this visibility is operationally and financially material — not a convenience feature.</w:t>
      </w:r>
    </w:p>
    <w:p>
      <w:pPr>
        <w:spacing w:before="160" w:after="0"/>
      </w:pPr>
      <w:r>
        <w:t xml:space="preserve"/>
      </w:r>
    </w:p>
    <w:p>
      <w:pPr>
        <w:pStyle w:val="Heading1"/>
        <w:spacing w:before="360" w:after="100"/>
      </w:pPr>
      <w:r>
        <w:rPr>
          <w:rFonts w:ascii="Arial" w:cs="Arial" w:eastAsia="Arial" w:hAnsi="Arial"/>
          <w:b/>
          <w:bCs/>
          <w:color w:val="7A2D00"/>
          <w:sz w:val="36"/>
          <w:szCs w:val="36"/>
        </w:rPr>
        <w:t xml:space="preserve">Appendix A: Platform SLO Definitions and Dashboard Mapping</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following table reproduces the SLO targets from Section 10.1 of the Ecoskiller infrastructure specification, annotated with their Grafana datasource, dashboard location, and Prometheus alert rule: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800"/>
        <w:gridCol w:w="1600"/>
        <w:gridCol w:w="2560"/>
      </w:tblGrid>
      <w:tr>
        <w:tc>
          <w:tcPr>
            <w:tcW w:type="dxa" w:w="21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Service / Metric</w:t>
            </w:r>
          </w:p>
        </w:tc>
        <w:tc>
          <w:tcPr>
            <w:tcW w:type="dxa" w:w="13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SLO Target</w:t>
            </w:r>
          </w:p>
        </w:tc>
        <w:tc>
          <w:tcPr>
            <w:tcW w:type="dxa" w:w="18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Alert Threshold</w:t>
            </w:r>
          </w:p>
        </w:tc>
        <w:tc>
          <w:tcPr>
            <w:tcW w:type="dxa" w:w="160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Datasource</w:t>
            </w:r>
          </w:p>
        </w:tc>
        <w:tc>
          <w:tcPr>
            <w:tcW w:type="dxa" w:w="2560"/>
            <w:tcBorders>
              <w:top w:val="single" w:color="F0C4A0" w:sz="1"/>
              <w:left w:val="single" w:color="F0C4A0" w:sz="1"/>
              <w:bottom w:val="single" w:color="F0C4A0" w:sz="1"/>
              <w:right w:val="single" w:color="F0C4A0" w:sz="1"/>
            </w:tcBorders>
            <w:shd w:fill="E05400" w:val="clear"/>
            <w:tcMar>
              <w:top w:type="dxa" w:w="90"/>
              <w:left w:type="dxa" w:w="100"/>
              <w:bottom w:type="dxa" w:w="90"/>
              <w:right w:type="dxa" w:w="100"/>
            </w:tcMar>
          </w:tcPr>
          <w:p>
            <w:r>
              <w:rPr>
                <w:rFonts w:ascii="Arial" w:cs="Arial" w:eastAsia="Arial" w:hAnsi="Arial"/>
                <w:b/>
                <w:bCs/>
                <w:color w:val="FFFFFF"/>
                <w:sz w:val="18"/>
                <w:szCs w:val="18"/>
              </w:rPr>
              <w:t xml:space="preserve">Dashboard Panel</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API (all services) — Success Rate</w:t>
            </w:r>
          </w:p>
        </w:tc>
        <w:tc>
          <w:tcPr>
            <w:tcW w:type="dxa" w:w="13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2E7D32"/>
                <w:sz w:val="18"/>
                <w:szCs w:val="18"/>
              </w:rPr>
              <w:t xml:space="preserve">99.5%</w:t>
            </w:r>
          </w:p>
        </w:tc>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&lt; 99% over 5m window</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 · Error Rate panel</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API Latency — p95 Response Time</w:t>
            </w:r>
          </w:p>
        </w:tc>
        <w:tc>
          <w:tcPr>
            <w:tcW w:type="dxa" w:w="13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2E7D32"/>
                <w:sz w:val="18"/>
                <w:szCs w:val="18"/>
              </w:rPr>
              <w:t xml:space="preserve">&lt; 500ms</w:t>
            </w:r>
          </w:p>
        </w:tc>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 800ms over 5m window</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 · Latency Histogram</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GD Orchestrator — Session Completion</w:t>
            </w:r>
          </w:p>
        </w:tc>
        <w:tc>
          <w:tcPr>
            <w:tcW w:type="dxa" w:w="13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2E7D32"/>
                <w:sz w:val="18"/>
                <w:szCs w:val="18"/>
              </w:rPr>
              <w:t xml:space="preserve">99%</w:t>
            </w:r>
          </w:p>
        </w:tc>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&lt; 97% over 1h window</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Prometheus+ClickHouse</w:t>
            </w:r>
          </w:p>
        </w:tc>
        <w:tc>
          <w:tcPr>
            <w:tcW w:type="dxa" w:w="25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GD Session Health · Completion Rate panel</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Interview Service — WebSocket Stability</w:t>
            </w:r>
          </w:p>
        </w:tc>
        <w:tc>
          <w:tcPr>
            <w:tcW w:type="dxa" w:w="13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2E7D32"/>
                <w:sz w:val="18"/>
                <w:szCs w:val="18"/>
              </w:rPr>
              <w:t xml:space="preserve">99.9%</w:t>
            </w:r>
          </w:p>
        </w:tc>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Drop &gt; 0.1% over 15m</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Interview No-Show Rate · WS Stability panel</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Auth / Keycloak — Login Success Rate</w:t>
            </w:r>
          </w:p>
        </w:tc>
        <w:tc>
          <w:tcPr>
            <w:tcW w:type="dxa" w:w="13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2E7D32"/>
                <w:sz w:val="18"/>
                <w:szCs w:val="18"/>
              </w:rPr>
              <w:t xml:space="preserve">99.9%</w:t>
            </w:r>
          </w:p>
        </w:tc>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&lt; 99.5% over 5m window</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Auth Events · Login Rate panel</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Kafka Consumers — Consumer Lag</w:t>
            </w:r>
          </w:p>
        </w:tc>
        <w:tc>
          <w:tcPr>
            <w:tcW w:type="dxa" w:w="13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2E7D32"/>
                <w:sz w:val="18"/>
                <w:szCs w:val="18"/>
              </w:rPr>
              <w:t xml:space="preserve">&lt; 1000</w:t>
            </w:r>
          </w:p>
        </w:tc>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Lag &gt; 5000 for &gt; 10m</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 · Kafka Lag panel</w:t>
            </w:r>
          </w:p>
        </w:tc>
      </w:tr>
      <w:tr>
        <w:tc>
          <w:tcPr>
            <w:tcW w:type="dxa" w:w="21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7A2D00"/>
                <w:sz w:val="17"/>
                <w:szCs w:val="17"/>
              </w:rPr>
              <w:t xml:space="preserve">PostgreSQL — Query p95 Latency</w:t>
            </w:r>
          </w:p>
        </w:tc>
        <w:tc>
          <w:tcPr>
            <w:tcW w:type="dxa" w:w="13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bCs/>
                <w:color w:val="2E7D32"/>
                <w:sz w:val="18"/>
                <w:szCs w:val="18"/>
              </w:rPr>
              <w:t xml:space="preserve">&lt; 50ms</w:t>
            </w:r>
          </w:p>
        </w:tc>
        <w:tc>
          <w:tcPr>
            <w:tcW w:type="dxa" w:w="18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 100ms over 5m window</w:t>
            </w:r>
          </w:p>
        </w:tc>
        <w:tc>
          <w:tcPr>
            <w:tcW w:type="dxa" w:w="160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Platform SLO Dashboard · DB Latency panel</w:t>
            </w:r>
          </w:p>
        </w:tc>
      </w:tr>
      <w:tr>
        <w:tc>
          <w:tcPr>
            <w:tcW w:type="dxa" w:w="21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7A2D00"/>
                <w:sz w:val="17"/>
                <w:szCs w:val="17"/>
              </w:rPr>
              <w:t xml:space="preserve">Media (Jitsi/coturn) — WebRTC Success</w:t>
            </w:r>
          </w:p>
        </w:tc>
        <w:tc>
          <w:tcPr>
            <w:tcW w:type="dxa" w:w="13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bCs/>
                <w:color w:val="2E7D32"/>
                <w:sz w:val="18"/>
                <w:szCs w:val="18"/>
              </w:rPr>
              <w:t xml:space="preserve">95%</w:t>
            </w:r>
          </w:p>
        </w:tc>
        <w:tc>
          <w:tcPr>
            <w:tcW w:type="dxa" w:w="18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&lt; 90% over 15m window</w:t>
            </w:r>
          </w:p>
        </w:tc>
        <w:tc>
          <w:tcPr>
            <w:tcW w:type="dxa" w:w="160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Prometheus</w:t>
            </w:r>
          </w:p>
        </w:tc>
        <w:tc>
          <w:tcPr>
            <w:tcW w:type="dxa" w:w="2560"/>
            <w:tcBorders>
              <w:top w:val="single" w:color="F0C4A0" w:sz="1"/>
              <w:left w:val="single" w:color="F0C4A0" w:sz="1"/>
              <w:bottom w:val="single" w:color="F0C4A0" w:sz="1"/>
              <w:right w:val="single" w:color="F0C4A0" w:sz="1"/>
            </w:tcBorders>
            <w:shd w:fill="FAF7F4" w:val="clear"/>
            <w:tcMar>
              <w:top w:type="dxa" w:w="80"/>
              <w:left w:type="dxa" w:w="100"/>
              <w:bottom w:type="dxa" w:w="80"/>
              <w:right w:type="dxa" w:w="100"/>
            </w:tcMar>
          </w:tcPr>
          <w:p>
            <w:r>
              <w:rPr>
                <w:rFonts w:ascii="Arial" w:cs="Arial" w:eastAsia="Arial" w:hAnsi="Arial"/>
                <w:b w:val="false"/>
                <w:bCs w:val="false"/>
                <w:color w:val="4A4A4A"/>
                <w:sz w:val="17"/>
                <w:szCs w:val="17"/>
              </w:rPr>
              <w:t xml:space="preserve">Media QoS · Connection Success panel</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Appendix B: Grafana Datasource Configuration</w:t>
      </w:r>
    </w:p>
    <w:p>
      <w:pPr>
        <w:pBdr>
          <w:bottom w:val="single" w:color="FF6B00"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All Grafana datasources are provisioned via Kubernetes ConfigMap (grafana-datasources.yaml) mounted into the Grafana pod. Manual datasource configuration via the UI is not used — all datasource config is version-controlled in the Helm chart.</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Prometheus: URL = http://prometheus.ops.svc.cluster.local:9090 · Type = Prometheus · Default datasource: true</w:t>
      </w:r>
    </w:p>
    <w:p>
      <w:pPr>
        <w:pStyle w:val="ListParagraph"/>
        <w:numPr>
          <w:ilvl w:val="0"/>
          <w:numId w:val="2"/>
        </w:numPr>
        <w:spacing w:before="60" w:after="60"/>
      </w:pPr>
      <w:r>
        <w:rPr>
          <w:rFonts w:ascii="Arial" w:cs="Arial" w:eastAsia="Arial" w:hAnsi="Arial"/>
          <w:b w:val="false"/>
          <w:bCs w:val="false"/>
          <w:color w:val="1A1A1A"/>
          <w:sz w:val="22"/>
          <w:szCs w:val="22"/>
        </w:rPr>
        <w:t xml:space="preserve">Grafana Loki: URL = http://loki.ops.svc.cluster.local:3100 · Type = Loki · Used for log panels in all dashboards</w:t>
      </w:r>
    </w:p>
    <w:p>
      <w:pPr>
        <w:pStyle w:val="ListParagraph"/>
        <w:numPr>
          <w:ilvl w:val="0"/>
          <w:numId w:val="2"/>
        </w:numPr>
        <w:spacing w:before="60" w:after="60"/>
      </w:pPr>
      <w:r>
        <w:rPr>
          <w:rFonts w:ascii="Arial" w:cs="Arial" w:eastAsia="Arial" w:hAnsi="Arial"/>
          <w:b w:val="false"/>
          <w:bCs w:val="false"/>
          <w:color w:val="1A1A1A"/>
          <w:sz w:val="22"/>
          <w:szCs w:val="22"/>
        </w:rPr>
        <w:t xml:space="preserve">Grafana Tempo: URL = http://tempo.ops.svc.cluster.local:3100 · Type = Tempo · traceToLogs: correlate with Loki by trace ID</w:t>
      </w:r>
    </w:p>
    <w:p>
      <w:pPr>
        <w:pStyle w:val="ListParagraph"/>
        <w:numPr>
          <w:ilvl w:val="0"/>
          <w:numId w:val="2"/>
        </w:numPr>
        <w:spacing w:before="60" w:after="60"/>
      </w:pPr>
      <w:r>
        <w:rPr>
          <w:rFonts w:ascii="Arial" w:cs="Arial" w:eastAsia="Arial" w:hAnsi="Arial"/>
          <w:b w:val="false"/>
          <w:bCs w:val="false"/>
          <w:color w:val="1A1A1A"/>
          <w:sz w:val="22"/>
          <w:szCs w:val="22"/>
        </w:rPr>
        <w:t xml:space="preserve">ClickHouse: URL = http://clickhouse.analytics.svc.cluster.local:9000 · Type = ClickHouse (community plugin) · Cross-namespace allowed by NetworkPolicy</w:t>
      </w:r>
    </w:p>
    <w:p>
      <w:pPr>
        <w:pStyle w:val="ListParagraph"/>
        <w:numPr>
          <w:ilvl w:val="0"/>
          <w:numId w:val="2"/>
        </w:numPr>
        <w:spacing w:before="60" w:after="60"/>
      </w:pPr>
      <w:r>
        <w:rPr>
          <w:rFonts w:ascii="Arial" w:cs="Arial" w:eastAsia="Arial" w:hAnsi="Arial"/>
          <w:b w:val="false"/>
          <w:bCs w:val="false"/>
          <w:color w:val="1A1A1A"/>
          <w:sz w:val="22"/>
          <w:szCs w:val="22"/>
        </w:rPr>
        <w:t xml:space="preserve">OpenCost: URL = http://opencost.ops.svc.cluster.local:9090 · Type = Prometheus (OpenCost exposes Prometheus-compatible metrics)</w:t>
      </w:r>
    </w:p>
    <w:p>
      <w:pPr>
        <w:pStyle w:val="ListParagraph"/>
        <w:numPr>
          <w:ilvl w:val="0"/>
          <w:numId w:val="2"/>
        </w:numPr>
        <w:spacing w:before="60" w:after="60"/>
      </w:pPr>
      <w:r>
        <w:rPr>
          <w:rFonts w:ascii="Arial" w:cs="Arial" w:eastAsia="Arial" w:hAnsi="Arial"/>
          <w:b w:val="false"/>
          <w:bCs w:val="false"/>
          <w:color w:val="1A1A1A"/>
          <w:sz w:val="22"/>
          <w:szCs w:val="22"/>
        </w:rPr>
        <w:t xml:space="preserve">PostgreSQL: URL = postgres.core.svc.cluster.local:5432 · Type = PostgreSQL · Read-only service account with pg_monitor role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2"/>
              <w:bottom w:val="single" w:color="6A1B9A" w:sz="2"/>
              <w:right w:val="single" w:color="6A1B9A" w:sz="2"/>
            </w:tcBorders>
            <w:shd w:fill="F3E5F5" w:val="clear"/>
            <w:tcMar>
              <w:top w:type="dxa" w:w="140"/>
              <w:left w:type="dxa" w:w="200"/>
              <w:bottom w:type="dxa" w:w="140"/>
              <w:right w:type="dxa" w:w="200"/>
            </w:tcMar>
          </w:tcPr>
          <w:p>
            <w:r>
              <w:rPr>
                <w:rFonts w:ascii="Arial" w:cs="Arial" w:eastAsia="Arial" w:hAnsi="Arial"/>
                <w:b/>
                <w:bCs/>
                <w:color w:val="6A1B9A"/>
                <w:sz w:val="21"/>
                <w:szCs w:val="21"/>
              </w:rPr>
              <w:t xml:space="preserve">Trace-to-Log Correlation Configuration</w:t>
            </w:r>
          </w:p>
          <w:p>
            <w:pPr>
              <w:spacing w:before="40"/>
            </w:pPr>
            <w:r>
              <w:rPr>
                <w:rFonts w:ascii="Arial" w:cs="Arial" w:eastAsia="Arial" w:hAnsi="Arial"/>
                <w:color w:val="6A1B9A"/>
                <w:sz w:val="20"/>
                <w:szCs w:val="20"/>
              </w:rPr>
              <w:t xml:space="preserve">Grafana Tempo datasource is configured with traceToLogs linking to the Loki datasource.</w:t>
            </w:r>
          </w:p>
          <w:p>
            <w:pPr>
              <w:spacing w:before="40"/>
            </w:pPr>
            <w:r>
              <w:rPr>
                <w:rFonts w:ascii="Arial" w:cs="Arial" w:eastAsia="Arial" w:hAnsi="Arial"/>
                <w:color w:val="6A1B9A"/>
                <w:sz w:val="20"/>
                <w:szCs w:val="20"/>
              </w:rPr>
              <w:t xml:space="preserve">Clicking any span in a Tempo trace opens the correlated Loki log stream for the same service/pod/time window.</w:t>
            </w:r>
          </w:p>
          <w:p>
            <w:pPr>
              <w:spacing w:before="40"/>
            </w:pPr>
            <w:r>
              <w:rPr>
                <w:rFonts w:ascii="Arial" w:cs="Arial" w:eastAsia="Arial" w:hAnsi="Arial"/>
                <w:color w:val="6A1B9A"/>
                <w:sz w:val="20"/>
                <w:szCs w:val="20"/>
              </w:rPr>
              <w:t xml:space="preserve">Correlation is by trace ID field in structured logs — all Ecoskiller services emit trace ID in JSON log output.</w:t>
            </w:r>
          </w:p>
          <w:p>
            <w:pPr>
              <w:spacing w:before="40"/>
            </w:pPr>
            <w:r>
              <w:rPr>
                <w:rFonts w:ascii="Arial" w:cs="Arial" w:eastAsia="Arial" w:hAnsi="Arial"/>
                <w:color w:val="6A1B9A"/>
                <w:sz w:val="20"/>
                <w:szCs w:val="20"/>
              </w:rPr>
              <w:t xml:space="preserve">This zero-click log correlation is the primary tool for root-cause investigation in the Ecoskiller incident response workflow.</w:t>
            </w:r>
          </w:p>
        </w:tc>
      </w:tr>
    </w:tbl>
    <w:p>
      <w:pPr>
        <w:spacing w:before="160" w:after="0"/>
      </w:pPr>
      <w:r>
        <w:t xml:space="preserve"/>
      </w:r>
    </w:p>
    <w:p>
      <w:pPr>
        <w:pStyle w:val="Heading1"/>
        <w:spacing w:before="360" w:after="100"/>
      </w:pPr>
      <w:r>
        <w:rPr>
          <w:rFonts w:ascii="Arial" w:cs="Arial" w:eastAsia="Arial" w:hAnsi="Arial"/>
          <w:b/>
          <w:bCs/>
          <w:color w:val="7A2D00"/>
          <w:sz w:val="36"/>
          <w:szCs w:val="36"/>
        </w:rPr>
        <w:t xml:space="preserve">Appendix C: Alert Routing Configuration</w:t>
      </w:r>
    </w:p>
    <w:p>
      <w:pPr>
        <w:pBdr>
          <w:bottom w:val="single" w:color="FF6B00" w:sz="6" w:space="1"/>
        </w:pBdr>
        <w:spacing w:before="80" w:after="100"/>
      </w:pPr>
    </w:p>
    <w:p>
      <w:pPr>
        <w:spacing w:before="80" w:after="0"/>
      </w:pPr>
      <w:r>
        <w:t xml:space="preserve"/>
      </w:r>
    </w:p>
    <w:p>
      <w:pPr>
        <w:pStyle w:val="Heading2"/>
        <w:spacing w:before="260" w:after="80"/>
      </w:pPr>
      <w:r>
        <w:rPr>
          <w:rFonts w:ascii="Arial" w:cs="Arial" w:eastAsia="Arial" w:hAnsi="Arial"/>
          <w:b/>
          <w:bCs/>
          <w:color w:val="E05400"/>
          <w:sz w:val="28"/>
          <w:szCs w:val="28"/>
        </w:rPr>
        <w:t xml:space="preserve">ntfy Alert Delivery</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ntfy server: ntfy.ecoskiller.internal (ops namespace, ClusterIP only — not exposed externally)</w:t>
      </w:r>
    </w:p>
    <w:p>
      <w:pPr>
        <w:pStyle w:val="ListParagraph"/>
        <w:numPr>
          <w:ilvl w:val="0"/>
          <w:numId w:val="2"/>
        </w:numPr>
        <w:spacing w:before="60" w:after="60"/>
      </w:pPr>
      <w:r>
        <w:rPr>
          <w:rFonts w:ascii="Arial" w:cs="Arial" w:eastAsia="Arial" w:hAnsi="Arial"/>
          <w:b w:val="false"/>
          <w:bCs w:val="false"/>
          <w:color w:val="1A1A1A"/>
          <w:sz w:val="22"/>
          <w:szCs w:val="22"/>
        </w:rPr>
        <w:t xml:space="preserve">P0 alert topic: ecoskiller/on-call/alerts (Flutter app subscribed on every on-call engineer device)</w:t>
      </w:r>
    </w:p>
    <w:p>
      <w:pPr>
        <w:pStyle w:val="ListParagraph"/>
        <w:numPr>
          <w:ilvl w:val="0"/>
          <w:numId w:val="2"/>
        </w:numPr>
        <w:spacing w:before="60" w:after="60"/>
      </w:pPr>
      <w:r>
        <w:rPr>
          <w:rFonts w:ascii="Arial" w:cs="Arial" w:eastAsia="Arial" w:hAnsi="Arial"/>
          <w:b w:val="false"/>
          <w:bCs w:val="false"/>
          <w:color w:val="1A1A1A"/>
          <w:sz w:val="22"/>
          <w:szCs w:val="22"/>
        </w:rPr>
        <w:t xml:space="preserve">P1 alert topic: ecoskiller/on-call/alerts (same topic; severity encoded in ntfy notification priority field)</w:t>
      </w:r>
    </w:p>
    <w:p>
      <w:pPr>
        <w:pStyle w:val="ListParagraph"/>
        <w:numPr>
          <w:ilvl w:val="0"/>
          <w:numId w:val="2"/>
        </w:numPr>
        <w:spacing w:before="60" w:after="60"/>
      </w:pPr>
      <w:r>
        <w:rPr>
          <w:rFonts w:ascii="Arial" w:cs="Arial" w:eastAsia="Arial" w:hAnsi="Arial"/>
          <w:b w:val="false"/>
          <w:bCs w:val="false"/>
          <w:color w:val="1A1A1A"/>
          <w:sz w:val="22"/>
          <w:szCs w:val="22"/>
        </w:rPr>
        <w:t xml:space="preserve">ntfy → Flutter: HTTP long-polling subscription. On-call engineer Flutter app maintains persistent subscription to ntfy topic.</w:t>
      </w:r>
    </w:p>
    <w:p>
      <w:pPr>
        <w:pStyle w:val="ListParagraph"/>
        <w:numPr>
          <w:ilvl w:val="0"/>
          <w:numId w:val="2"/>
        </w:numPr>
        <w:spacing w:before="60" w:after="60"/>
      </w:pPr>
      <w:r>
        <w:rPr>
          <w:rFonts w:ascii="Arial" w:cs="Arial" w:eastAsia="Arial" w:hAnsi="Arial"/>
          <w:b w:val="false"/>
          <w:bCs w:val="false"/>
          <w:color w:val="1A1A1A"/>
          <w:sz w:val="22"/>
          <w:szCs w:val="22"/>
        </w:rPr>
        <w:t xml:space="preserve">No Firebase or APNs: ntfy delivers natively to Android and iOS without any external push gateway.</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Mattermost Webhook Routing</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Mattermost server: mattermost.ecoskiller.internal (ops namespace)</w:t>
      </w:r>
    </w:p>
    <w:p>
      <w:pPr>
        <w:pStyle w:val="ListParagraph"/>
        <w:numPr>
          <w:ilvl w:val="0"/>
          <w:numId w:val="2"/>
        </w:numPr>
        <w:spacing w:before="60" w:after="60"/>
      </w:pPr>
      <w:r>
        <w:rPr>
          <w:rFonts w:ascii="Arial" w:cs="Arial" w:eastAsia="Arial" w:hAnsi="Arial"/>
          <w:b w:val="false"/>
          <w:bCs w:val="false"/>
          <w:color w:val="1A1A1A"/>
          <w:sz w:val="22"/>
          <w:szCs w:val="22"/>
        </w:rPr>
        <w:t xml:space="preserve">Incident channel: #incidents (all P0/P1 alerts posted; P2/P3 posted to #alerts-low-priority)</w:t>
      </w:r>
    </w:p>
    <w:p>
      <w:pPr>
        <w:pStyle w:val="ListParagraph"/>
        <w:numPr>
          <w:ilvl w:val="0"/>
          <w:numId w:val="2"/>
        </w:numPr>
        <w:spacing w:before="60" w:after="60"/>
      </w:pPr>
      <w:r>
        <w:rPr>
          <w:rFonts w:ascii="Arial" w:cs="Arial" w:eastAsia="Arial" w:hAnsi="Arial"/>
          <w:b w:val="false"/>
          <w:bCs w:val="false"/>
          <w:color w:val="1A1A1A"/>
          <w:sz w:val="22"/>
          <w:szCs w:val="22"/>
        </w:rPr>
        <w:t xml:space="preserve">Alert template: includes alert name, severity badge, current metric value, threshold, Grafana panel deep-link, and runbook section reference</w:t>
      </w:r>
    </w:p>
    <w:p>
      <w:pPr>
        <w:pStyle w:val="ListParagraph"/>
        <w:numPr>
          <w:ilvl w:val="0"/>
          <w:numId w:val="2"/>
        </w:numPr>
        <w:spacing w:before="60" w:after="60"/>
      </w:pPr>
      <w:r>
        <w:rPr>
          <w:rFonts w:ascii="Arial" w:cs="Arial" w:eastAsia="Arial" w:hAnsi="Arial"/>
          <w:b w:val="false"/>
          <w:bCs w:val="false"/>
          <w:color w:val="1A1A1A"/>
          <w:sz w:val="22"/>
          <w:szCs w:val="22"/>
        </w:rPr>
        <w:t xml:space="preserve">Resolve notification: posted to same thread on alert resolution with incident duration</w:t>
      </w:r>
    </w:p>
    <w:p>
      <w:pPr>
        <w:pStyle w:val="ListParagraph"/>
        <w:numPr>
          <w:ilvl w:val="0"/>
          <w:numId w:val="2"/>
        </w:numPr>
        <w:spacing w:before="60" w:after="60"/>
      </w:pPr>
      <w:r>
        <w:rPr>
          <w:rFonts w:ascii="Arial" w:cs="Arial" w:eastAsia="Arial" w:hAnsi="Arial"/>
          <w:b w:val="false"/>
          <w:bCs w:val="false"/>
          <w:color w:val="1A1A1A"/>
          <w:sz w:val="22"/>
          <w:szCs w:val="22"/>
        </w:rPr>
        <w:t xml:space="preserve">Grafana annotation write-back: Alertmanager webhook also writes firing/resolution as Grafana annotations visible on dashboard timelines</w:t>
      </w:r>
    </w:p>
    <w:p>
      <w:pPr>
        <w:spacing w:before="100" w:after="0"/>
      </w:pPr>
      <w:r>
        <w:t xml:space="preserve"/>
      </w:r>
    </w:p>
    <w:p>
      <w:pPr>
        <w:pStyle w:val="Heading2"/>
        <w:spacing w:before="260" w:after="80"/>
      </w:pPr>
      <w:r>
        <w:rPr>
          <w:rFonts w:ascii="Arial" w:cs="Arial" w:eastAsia="Arial" w:hAnsi="Arial"/>
          <w:b/>
          <w:bCs/>
          <w:color w:val="E05400"/>
          <w:sz w:val="28"/>
          <w:szCs w:val="28"/>
        </w:rPr>
        <w:t xml:space="preserve">Alertmanager Routing Config (Summary)</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route.receiver: default-receiver (Mattermost #alerts-low-priority)</w:t>
      </w:r>
    </w:p>
    <w:p>
      <w:pPr>
        <w:pStyle w:val="ListParagraph"/>
        <w:numPr>
          <w:ilvl w:val="0"/>
          <w:numId w:val="2"/>
        </w:numPr>
        <w:spacing w:before="60" w:after="60"/>
      </w:pPr>
      <w:r>
        <w:rPr>
          <w:rFonts w:ascii="Arial" w:cs="Arial" w:eastAsia="Arial" w:hAnsi="Arial"/>
          <w:b w:val="false"/>
          <w:bCs w:val="false"/>
          <w:color w:val="1A1A1A"/>
          <w:sz w:val="22"/>
          <w:szCs w:val="22"/>
        </w:rPr>
        <w:t xml:space="preserve">route.routes[0]: severity=~P0|P1 → receiver: critical-receiver (ntfy + Mattermost #incidents)</w:t>
      </w:r>
    </w:p>
    <w:p>
      <w:pPr>
        <w:pStyle w:val="ListParagraph"/>
        <w:numPr>
          <w:ilvl w:val="0"/>
          <w:numId w:val="2"/>
        </w:numPr>
        <w:spacing w:before="60" w:after="60"/>
      </w:pPr>
      <w:r>
        <w:rPr>
          <w:rFonts w:ascii="Arial" w:cs="Arial" w:eastAsia="Arial" w:hAnsi="Arial"/>
          <w:b w:val="false"/>
          <w:bCs w:val="false"/>
          <w:color w:val="1A1A1A"/>
          <w:sz w:val="22"/>
          <w:szCs w:val="22"/>
        </w:rPr>
        <w:t xml:space="preserve">inhibit_rules: P0 alerts inhibit P1 alerts for the same service (prevents alert storm during major outage)</w:t>
      </w:r>
    </w:p>
    <w:p>
      <w:pPr>
        <w:pStyle w:val="ListParagraph"/>
        <w:numPr>
          <w:ilvl w:val="0"/>
          <w:numId w:val="2"/>
        </w:numPr>
        <w:spacing w:before="60" w:after="60"/>
      </w:pPr>
      <w:r>
        <w:rPr>
          <w:rFonts w:ascii="Arial" w:cs="Arial" w:eastAsia="Arial" w:hAnsi="Arial"/>
          <w:b w:val="false"/>
          <w:bCs w:val="false"/>
          <w:color w:val="1A1A1A"/>
          <w:sz w:val="22"/>
          <w:szCs w:val="22"/>
        </w:rPr>
        <w:t xml:space="preserve">repeat_interval: 30m for P0, 1h for P1 (prevents duplicate pages while incident is being worked)</w:t>
      </w:r>
    </w:p>
    <w:p>
      <w:pPr>
        <w:pStyle w:val="ListParagraph"/>
        <w:numPr>
          <w:ilvl w:val="0"/>
          <w:numId w:val="2"/>
        </w:numPr>
        <w:spacing w:before="60" w:after="60"/>
      </w:pPr>
      <w:r>
        <w:rPr>
          <w:rFonts w:ascii="Arial" w:cs="Arial" w:eastAsia="Arial" w:hAnsi="Arial"/>
          <w:b w:val="false"/>
          <w:bCs w:val="false"/>
          <w:color w:val="1A1A1A"/>
          <w:sz w:val="22"/>
          <w:szCs w:val="22"/>
        </w:rPr>
        <w:t xml:space="preserve">group_by: [alertname, namespace, severity] — groups related alerts from the same service into single notification</w:t>
      </w:r>
    </w:p>
    <w:p>
      <w:pPr>
        <w:spacing w:before="160" w:after="0"/>
      </w:pPr>
      <w:r>
        <w:t xml:space="preserve"/>
      </w:r>
    </w:p>
    <w:p>
      <w:pPr>
        <w:pBdr>
          <w:bottom w:val="single" w:color="F0C4A0" w:sz="6" w:space="1"/>
        </w:pBdr>
        <w:spacing w:before="80" w:after="100"/>
      </w:pPr>
    </w:p>
    <w:p>
      <w:pPr>
        <w:spacing w:before="120" w:after="60"/>
        <w:jc w:val="center"/>
      </w:pPr>
      <w:r>
        <w:rPr>
          <w:rFonts w:ascii="Arial" w:cs="Arial" w:eastAsia="Arial" w:hAnsi="Arial"/>
          <w:i/>
          <w:iCs/>
          <w:color w:val="4A4A4A"/>
          <w:sz w:val="18"/>
          <w:szCs w:val="18"/>
        </w:rPr>
        <w:t xml:space="preserve">Ecoskiller Platform Engineering  ·  Grafana Dashboard Service  ·  Technical Reference v1.0  ·  March 2026</w:t>
      </w:r>
    </w:p>
    <w:p>
      <w:pPr>
        <w:jc w:val="center"/>
      </w:pPr>
      <w:r>
        <w:rPr>
          <w:rFonts w:ascii="Arial" w:cs="Arial" w:eastAsia="Arial" w:hAnsi="Arial"/>
          <w:i/>
          <w:iCs/>
          <w:color w:val="4A4A4A"/>
          <w:sz w:val="17"/>
          <w:szCs w:val="17"/>
        </w:rPr>
        <w:t xml:space="preserve">This document is generated from the Ecoskiller infrastructure specification (Section 10)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C4A0" w:sz="4"/>
      </w:pBdr>
      <w:tabs>
        <w:tab w:val="right" w:pos="9360"/>
      </w:tabs>
      <w:spacing w:before="100"/>
    </w:pPr>
    <w:r>
      <w:rPr>
        <w:rFonts w:ascii="Arial" w:cs="Arial" w:eastAsia="Arial" w:hAnsi="Arial"/>
        <w:color w:val="4A4A4A"/>
        <w:sz w:val="18"/>
        <w:szCs w:val="18"/>
      </w:rPr>
      <w:t xml:space="preserve">Ecoskiller Platform Engineering  ·  Confidential</w:t>
    </w:r>
    <w:r>
      <w:rPr>
        <w:rFonts w:ascii="Arial" w:cs="Arial" w:eastAsia="Arial" w:hAnsi="Arial"/>
        <w:color w:val="4A4A4A"/>
        <w:sz w:val="18"/>
        <w:szCs w:val="18"/>
      </w:rPr>
      <w:t xml:space="preserve">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C4A0" w:sz="4"/>
      </w:pBdr>
      <w:spacing w:after="100"/>
    </w:pPr>
    <w:r>
      <w:rPr>
        <w:rFonts w:ascii="Arial" w:cs="Arial" w:eastAsia="Arial" w:hAnsi="Arial"/>
        <w:b/>
        <w:bCs/>
        <w:color w:val="E05400"/>
        <w:sz w:val="18"/>
        <w:szCs w:val="18"/>
      </w:rPr>
      <w:t xml:space="preserve">ECOSKILLER  ·  </w:t>
    </w:r>
    <w:r>
      <w:rPr>
        <w:rFonts w:ascii="Arial" w:cs="Arial" w:eastAsia="Arial" w:hAnsi="Arial"/>
        <w:color w:val="4A4A4A"/>
        <w:sz w:val="18"/>
        <w:szCs w:val="18"/>
      </w:rPr>
      <w:t xml:space="preserve">Grafana Dashboard Service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7A2D00"/>
      <w:sz w:val="36"/>
      <w:szCs w:val="36"/>
    </w:rPr>
  </w:style>
  <w:style w:type="paragraph" w:styleId="Heading2">
    <w:name w:val="Heading 2"/>
    <w:basedOn w:val="Normal"/>
    <w:next w:val="Normal"/>
    <w:qFormat/>
    <w:pPr>
      <w:spacing w:before="260" w:after="80"/>
      <w:outlineLvl w:val="1"/>
    </w:pPr>
    <w:rPr>
      <w:rFonts w:ascii="Arial" w:cs="Arial" w:eastAsia="Arial" w:hAnsi="Arial"/>
      <w:b/>
      <w:bCs/>
      <w:color w:val="E0540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FF6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2026-03-10T08:22:24.859Z</dcterms:created>
  <dcterms:modified xsi:type="dcterms:W3CDTF">2026-03-10T08:22:24.860Z</dcterms:modified>
</cp:coreProperties>
</file>

<file path=docProps/custom.xml><?xml version="1.0" encoding="utf-8"?>
<Properties xmlns="http://schemas.openxmlformats.org/officeDocument/2006/custom-properties" xmlns:vt="http://schemas.openxmlformats.org/officeDocument/2006/docPropsVTypes"/>
</file>