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1B2A4A"/>
          <w:sz w:val="44"/>
          <w:szCs w:val="44"/>
        </w:rPr>
        <w:t xml:space="preserve">ECOSKILLER PLATFORM</w:t>
      </w:r>
    </w:p>
    <w:p>
      <w:pPr>
        <w:pBdr>
          <w:bottom w:val="single" w:color="C0392B" w:sz="12" w:space="4"/>
        </w:pBdr>
        <w:spacing w:before="0" w:after="80"/>
        <w:jc w:val="center"/>
      </w:pPr>
      <w:r>
        <w:rPr>
          <w:rFonts w:ascii="Calibri" w:cs="Calibri" w:eastAsia="Calibri" w:hAnsi="Calibri"/>
          <w:b/>
          <w:bCs/>
          <w:color w:val="C0392B"/>
          <w:sz w:val="28"/>
          <w:szCs w:val="28"/>
        </w:rPr>
        <w:t xml:space="preserve">Backend Messaging Infrastructure — Service Specification</w:t>
      </w:r>
    </w:p>
    <w:p>
      <w:pPr>
        <w:spacing w:before="80" w:after="40"/>
      </w:pPr>
      <w:r>
        <w:t xml:space="preserve"/>
      </w:r>
    </w:p>
    <w:p>
      <w:pPr>
        <w:shd w:fill="1B2A4A" w:val="clear"/>
        <w:spacing w:before="40" w:after="40"/>
        <w:jc w:val="center"/>
      </w:pPr>
      <w:r>
        <w:rPr>
          <w:rFonts w:ascii="Calibri" w:cs="Calibri" w:eastAsia="Calibri" w:hAnsi="Calibri"/>
          <w:b/>
          <w:bCs/>
          <w:color w:val="FFFFFF"/>
          <w:sz w:val="52"/>
          <w:szCs w:val="52"/>
        </w:rPr>
        <w:t xml:space="preserve">  SERVICE SPECIFICATION DOCUMENT  </w:t>
      </w:r>
    </w:p>
    <w:p>
      <w:pPr>
        <w:shd w:fill="C0392B" w:val="clear"/>
        <w:spacing w:before="0" w:after="0"/>
        <w:jc w:val="center"/>
      </w:pPr>
      <w:r>
        <w:rPr>
          <w:rFonts w:ascii="Calibri" w:cs="Calibri" w:eastAsia="Calibri" w:hAnsi="Calibri"/>
          <w:b/>
          <w:bCs/>
          <w:color w:val="FFFFFF"/>
          <w:sz w:val="72"/>
          <w:szCs w:val="72"/>
        </w:rPr>
        <w:t xml:space="preserve">  APACHE KAFKA  </w:t>
      </w:r>
    </w:p>
    <w:p>
      <w:pPr>
        <w:shd w:fill="1B2A4A" w:val="clear"/>
        <w:spacing w:before="0" w:after="0"/>
        <w:jc w:val="center"/>
      </w:pPr>
      <w:r>
        <w:rPr>
          <w:rFonts w:ascii="Calibri" w:cs="Calibri" w:eastAsia="Calibri" w:hAnsi="Calibri"/>
          <w:color w:val="FADBD8"/>
          <w:sz w:val="24"/>
          <w:szCs w:val="24"/>
        </w:rPr>
        <w:t xml:space="preserve">  Distributed Event Streaming Backbone for Microservices  </w:t>
      </w:r>
    </w:p>
    <w:p>
      <w:pPr>
        <w:spacing w:before="200" w:after="4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tblGrid>
      <w:tr>
        <w:tc>
          <w:tcPr>
            <w:tcW w:type="dxa" w:w="28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6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Service Name</w:t>
            </w:r>
          </w:p>
        </w:tc>
        <w:tc>
          <w:tcPr>
            <w:tcW w:type="dxa" w:w="3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Apache Kafka</w:t>
            </w:r>
          </w:p>
        </w:tc>
      </w:tr>
      <w:tr>
        <w:tc>
          <w:tcPr>
            <w:tcW w:type="dxa" w:w="2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Category</w:t>
            </w:r>
          </w:p>
        </w:tc>
        <w:tc>
          <w:tcPr>
            <w:tcW w:type="dxa" w:w="3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Event Streaming</w:t>
            </w:r>
          </w:p>
        </w:tc>
      </w:tr>
      <w:tr>
        <w:tc>
          <w:tcPr>
            <w:tcW w:type="dxa" w:w="2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Version</w:t>
            </w:r>
          </w:p>
        </w:tc>
        <w:tc>
          <w:tcPr>
            <w:tcW w:type="dxa" w:w="3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3.7.0</w:t>
            </w:r>
          </w:p>
        </w:tc>
      </w:tr>
      <w:tr>
        <w:tc>
          <w:tcPr>
            <w:tcW w:type="dxa" w:w="2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Platform</w:t>
            </w:r>
          </w:p>
        </w:tc>
        <w:tc>
          <w:tcPr>
            <w:tcW w:type="dxa" w:w="3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Runtime</w:t>
            </w:r>
          </w:p>
        </w:tc>
        <w:tc>
          <w:tcPr>
            <w:tcW w:type="dxa" w:w="3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Kubernetes — Data Worker Pool</w:t>
            </w:r>
          </w:p>
        </w:tc>
      </w:tr>
      <w:tr>
        <w:tc>
          <w:tcPr>
            <w:tcW w:type="dxa" w:w="2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Namespace</w:t>
            </w:r>
          </w:p>
        </w:tc>
        <w:tc>
          <w:tcPr>
            <w:tcW w:type="dxa" w:w="3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messaging / core</w:t>
            </w:r>
          </w:p>
        </w:tc>
      </w:tr>
      <w:tr>
        <w:tc>
          <w:tcPr>
            <w:tcW w:type="dxa" w:w="2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Schema Registry</w:t>
            </w:r>
          </w:p>
        </w:tc>
        <w:tc>
          <w:tcPr>
            <w:tcW w:type="dxa" w:w="3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Apicurio Registry (self-hosted)</w:t>
            </w:r>
          </w:p>
        </w:tc>
      </w:tr>
      <w:tr>
        <w:tc>
          <w:tcPr>
            <w:tcW w:type="dxa" w:w="2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Replication Factor</w:t>
            </w:r>
          </w:p>
        </w:tc>
        <w:tc>
          <w:tcPr>
            <w:tcW w:type="dxa" w:w="3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 (production)</w:t>
            </w:r>
          </w:p>
        </w:tc>
      </w:tr>
      <w:tr>
        <w:tc>
          <w:tcPr>
            <w:tcW w:type="dxa" w:w="2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Document Version</w:t>
            </w:r>
          </w:p>
        </w:tc>
        <w:tc>
          <w:tcPr>
            <w:tcW w:type="dxa" w:w="3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1B2A4A"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Apache Kafka — Distributed Event Streaming Backbone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Apache Kafka 3.7.0 is the central event-streaming backbone of the Ecoskiller platform. It provides a high-throughput, fault-tolerant, ordered message bus that decouples all 13 custom microservices from one another — enabling fully asynchronous, event-driven communication across every platform domain.</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In the Ecoskiller architecture, Kafka is the mandatory communication channel for all cross-domain service interactions. The platform's architectural rule is explicit: services within the same Kubernetes namespace may communicate via REST + mTLS, but services across domains — billing, scoring, certification, notifications, analytics — must communicate exclusively through Kafka events. This prevents tight coupling, eliminates cascading failure chains, and allows each microservice to be deployed and scaled independently.</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Kafka runs in the k3s Data Worker Pool (GCP n2-standard-8 / AWS m5.2xlarge — 200 GB SSD) with a replication factor of 3 across all production topics. Dead-letter queue (DLQ) topics are provisioned for every consumer group. All event schemas are enforced by Apicurio Registry (self-hosted, open-source replacement for Confluent Schema Registry).</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Property</w:t>
            </w:r>
          </w:p>
        </w:tc>
        <w:tc>
          <w:tcPr>
            <w:tcW w:type="dxa" w:w="74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Event Bus Type</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Distributed, partitioned, replicated log — Apache Kafka 3.7.0</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Node</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Data Worker Pool — GCP n2-standard-8 / AWS m5.2xlarge (200 GB SSD)</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Replication</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Factor 3 (requires minimum 3 Kafka brokers in production)</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Schema Enforcement</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Apicurio Registry — Avro/JSON schema validation on all topics</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DLQ Policy</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consumer groups must publish to .dlq topic after 3 failed retries</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Topic Prefixes</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 / test.* / stage.* / &lt;none&gt; (prod) — per environment isolation</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Persistent Storage</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PVC (Kubernetes) — broker log segments and offset metadata</w:t>
            </w:r>
          </w:p>
        </w:tc>
      </w:tr>
    </w:tbl>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Ecoskiller is a multi-tenant AI talent assessment platform processing candidate evaluation events continuously — group discussion completions, interview sessions, dojo coding match scores, billing usage meters, certification eligibility checks, and notification triggers. All of these events cross domain boundaries between independently deployed microservices.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Kafka solves the fundamental cross-domain communication problem: how do 13 microservices exchange high-value, time-ordered business events without becoming tightly coupled to each other's availability, schema, or deployment lifecycle?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answer in Ecoskiller is Kafka as the single event bus. Each microservice is either a producer (publishes events to a Kafka topic) or a consumer (subscribes to one or more topics via a named consumer group) — or both. No direct HTTP calls are made between cross-domain services. This gives the platform several critical architectural properties: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Resilience: If scoring-engine is temporarily down, gd-orchestrator continues publishing gd.completed events. Kafka retains them (30-day retention) until scoring-engine recovers and resumes consumption from its last committed offset.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Independent deployability: billing-service and notification-service can be deployed, restarted, or updated independently without impacting gd-orchestrator, which only writes to Kafka and has no knowledge of its downstream consumers.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Fan-out: A single gd.completed event is simultaneously consumed by scoring-engine, analytics-service, and notification-service — with zero additional code in the producer.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Audit and replay: Kafka's immutable, ordered log serves as an audit trail. Any event can be replayed from offset 0 to reconstruct service state after a failure or schema migration.</w:t>
      </w:r>
    </w:p>
    <w:p>
      <w:pPr>
        <w:spacing w:before="60" w:after="0"/>
      </w:pPr>
      <w:r>
        <w:t xml:space="preserve"/>
      </w:r>
    </w:p>
    <w:p>
      <w:pPr>
        <w:shd w:fill="1B2A4A"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What Kafka Does in the Ecoskiller Platform</w:t>
      </w:r>
    </w:p>
    <w:p>
      <w:pPr>
        <w:spacing w:before="60" w:after="0"/>
      </w:pPr>
      <w:r>
        <w:t xml:space="preserve"/>
      </w:r>
    </w:p>
    <w:p>
      <w:pPr>
        <w:pStyle w:val="Heading3"/>
        <w:spacing w:before="220" w:after="80"/>
      </w:pPr>
      <w:r>
        <w:rPr>
          <w:rFonts w:ascii="Calibri" w:cs="Calibri" w:eastAsia="Calibri" w:hAnsi="Calibri"/>
          <w:b/>
          <w:bCs/>
          <w:color w:val="1B2A4A"/>
          <w:sz w:val="22"/>
          <w:szCs w:val="22"/>
        </w:rPr>
        <w:t xml:space="preserve">3.1  Event Transport — Async Cross-Domain Communication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Receive events published by producer microservices (gd-orchestrator, interview-service, scoring-engine, billing-service, user-service, application-service, certification-engine)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Deliver events to consumer microservices (scoring-engine, analytics-service, notification-service, certification-engine, admin-service) via named consumer groups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Guarantee at-least-once delivery with ordered delivery within each partition</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3.2  Topic Management — Partition and Retention Policy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Maintain 7 production event topics with defined partition counts (3–6) and retention policies (7–90 days)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environment-specific topic prefixes: dev.*, test.*, stage.* — production topics carry no prefix</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Enforce minimum 3-broker replication factor for all production topics to survive broker failure without data loss</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3.3  Consumer Group Offset Management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Track per-consumer-group read offsets on each topic partition using the Kafka internal __consumer_offsets topic</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Naming convention enforced: {service-name}-{topic-name}-consumer (e.g., scoring-engine-gd.completed-consumer)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Enable consumer lag monitoring via Prometheus — SLO alert fires when consumer lag exceeds 5,000 messages for more than 10 minutes</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3.4  Dead-Letter Queue (DLQ) Routing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 consumer groups must publish failed events (after 3 retries) to a corresponding .dlq topic (e.g., gd.completed.dlq)</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DLQ events are monitored on Grafana; failed events can be replayed or inspected without service re-deployment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Prevents consumer poison-pill messages from blocking topic consumption indefinitely</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3.5  Schema Enforcement via Apicurio Registry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 producers must register event schemas (Avro or JSON Schema) in Apicurio Registry before publishing to any Kafka topic</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Kafka consumers validate incoming events against the registered schema — malformed events are rejected at ingestion, not at processing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Schema versioning in Apicurio enables backward/forward compatible schema evolution without breaking deployed consumers</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3.6  GD State Machine Timer — Overflow Event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During Group Discussion sessions, if the Redis TTL-based state timer expires unexpectedly, a Kafka event is emitted to notify the GD Orchestrator for state recovery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Kafka acts as the durable fallback for GD session state events that Redis cannot persist across a crash</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3.7  Notification Fan-Out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Kafka delivers triggering events (invoice.generated, belt.eligible, gd.completed, interview.completed) to notification-service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Notification-service fans out to email, SMS, and push channels without requiring any coupling between the source service and the notification delivery mechanism</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3.8  Analytics Pipeline Entry Point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 domain events consumed by analytics-service enter via Kafka — scores, session quality, funnel stage changes, billing usage, and AI signal updates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ClickHouse analytics writer consumes Kafka events and persists them as columnar records for dashboard queries</w:t>
      </w:r>
    </w:p>
    <w:p>
      <w:pPr>
        <w:spacing w:before="60" w:after="0"/>
      </w:pPr>
      <w:r>
        <w:t xml:space="preserve"/>
      </w:r>
    </w:p>
    <w:p>
      <w:pPr>
        <w:shd w:fill="1B2A4A"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Ordered, Partitioned Log</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Events within a Kafka partition are guaranteed to be delivered in order. Partition key (e.g., tenant_id or session_id) ensures all events for a given entity are ordered in the same partition.</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Replication Factor 3</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production topics replicate across 3 Kafka brokers. A single broker failure does not cause data loss or topic unavailability. ISR (In-Sync Replica) policy enforced.</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30-Day Event Retention</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 assessment events (gd.completed, interview.completed, match.scored, job.applied) are retained for 30 days, enabling replay for state reconstruction and post-incident analysis.</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Dead-Letter Queue (DLQ)</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consumer group has a corresponding .dlq topic. After 3 failed processing attempts, events are routed to the DLQ instead of blocking the consumer. Operators can inspect and replay DLQ events.</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Apicurio Schema Registry</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open-source (replaces Confluent Schema Registry). Enforces Avro/JSON schemas on all producers. Prevents schema drift from crashing consumers in production.</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Consumer Lag SLO Monitoring</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Kafka consumer lag metrics. Grafana SLO dashboard fires an alert when consumer lag exceeds 5,000 messages for more than 10 minutes — a sign that a consumer (e.g., scoring-engine) is down.</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Environment Topic Isolation</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Topic namespace isolation per environment: dev.* / test.* / stage.* / (no prefix for prod). Eliminates cross-environment event contamination on shared infrastructure.</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Multi-Consumer Fan-Out</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single event (e.g., gd.completed) is independently consumed by multiple services (scoring-engine, analytics-service, notification-service) via separate consumer groups — zero additional producer code.</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Distributed Tracing (OTel)</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 Java agent auto-instruments Kafka producers and consumers. Kafka spans are captured in the end-to-end trace: NGINX → auth-service → scoring-engine → Kafka → notification-service.</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Persistent Storage on Longhorn</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broker log segments and consumer offset metadata are persisted on Kubernetes PVCs provisioned by Longhorn (200 GB SSD on k3s Data Worker Pool). Survives pod restarts.</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Self-Hosted, Zero SaaS Cost</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runs in-cluster on k3s — no Confluent Cloud, no AWS MSK, no external Kafka-as-a-service cost. Consistent across GCP (asia-south1) and AWS (ap-south-1).</w:t>
            </w:r>
          </w:p>
        </w:tc>
      </w:tr>
    </w:tbl>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 — KAFKA TOPICS &amp; PRODUCERS</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Events Published Into Kafka</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following events are produced into Kafka by Ecoskiller microservices. Each event enters a named topic, is validated against its Apicurio schema, and is partitioned for ordered delivery.</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900"/>
        <w:gridCol w:w="1380"/>
        <w:gridCol w:w="3100"/>
      </w:tblGrid>
      <w:tr>
        <w:trPr>
          <w:tblHeader/>
        </w:trPr>
        <w:tc>
          <w:tcPr>
            <w:tcW w:type="dxa" w:w="18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Topic</w:t>
            </w:r>
          </w:p>
        </w:tc>
        <w:tc>
          <w:tcPr>
            <w:tcW w:type="dxa" w:w="20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Producer</w:t>
            </w:r>
          </w:p>
        </w:tc>
        <w:tc>
          <w:tcPr>
            <w:tcW w:type="dxa" w:w="9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Partitions</w:t>
            </w:r>
          </w:p>
        </w:tc>
        <w:tc>
          <w:tcPr>
            <w:tcW w:type="dxa" w:w="9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Retention</w:t>
            </w:r>
          </w:p>
        </w:tc>
        <w:tc>
          <w:tcPr>
            <w:tcW w:type="dxa" w:w="13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Partition Key</w:t>
            </w:r>
          </w:p>
        </w:tc>
        <w:tc>
          <w:tcPr>
            <w:tcW w:type="dxa" w:w="31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Event Payload (Key Fields)</w:t>
            </w:r>
          </w:p>
        </w:tc>
      </w:tr>
      <w:tr>
        <w:tc>
          <w:tcPr>
            <w:tcW w:type="dxa" w:w="1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user.created</w:t>
            </w:r>
          </w:p>
        </w:tc>
        <w:tc>
          <w:tcPr>
            <w:tcW w:type="dxa" w:w="2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user-service</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days</w:t>
            </w:r>
          </w:p>
        </w:tc>
        <w:tc>
          <w:tcPr>
            <w:tcW w:type="dxa" w:w="13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tenant_id</w:t>
            </w:r>
          </w:p>
        </w:tc>
        <w:tc>
          <w:tcPr>
            <w:tcW w:type="dxa" w:w="31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user_id, tenant_id, email, role, timestamp</w:t>
            </w:r>
          </w:p>
        </w:tc>
      </w:tr>
      <w:tr>
        <w:tc>
          <w:tcPr>
            <w:tcW w:type="dxa" w:w="1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job.applied</w:t>
            </w:r>
          </w:p>
        </w:tc>
        <w:tc>
          <w:tcPr>
            <w:tcW w:type="dxa" w:w="2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application-service</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6</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tenant_id</w:t>
            </w:r>
          </w:p>
        </w:tc>
        <w:tc>
          <w:tcPr>
            <w:tcW w:type="dxa" w:w="31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application_id, job_id, candidate_id, tenant_id, timestamp</w:t>
            </w:r>
          </w:p>
        </w:tc>
      </w:tr>
      <w:tr>
        <w:tc>
          <w:tcPr>
            <w:tcW w:type="dxa" w:w="1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interview.completed</w:t>
            </w:r>
          </w:p>
        </w:tc>
        <w:tc>
          <w:tcPr>
            <w:tcW w:type="dxa" w:w="2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interview-service</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6</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session_id</w:t>
            </w:r>
          </w:p>
        </w:tc>
        <w:tc>
          <w:tcPr>
            <w:tcW w:type="dxa" w:w="31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interview_id, session_id, candidate_id, recruiter_id, duration_ms, ended_at</w:t>
            </w:r>
          </w:p>
        </w:tc>
      </w:tr>
      <w:tr>
        <w:tc>
          <w:tcPr>
            <w:tcW w:type="dxa" w:w="1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gd.completed</w:t>
            </w:r>
          </w:p>
        </w:tc>
        <w:tc>
          <w:tcPr>
            <w:tcW w:type="dxa" w:w="2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6</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session_id</w:t>
            </w:r>
          </w:p>
        </w:tc>
        <w:tc>
          <w:tcPr>
            <w:tcW w:type="dxa" w:w="31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session_id, tenant_id, candidates[], speaking_time_map, topic, ended_at</w:t>
            </w:r>
          </w:p>
        </w:tc>
      </w:tr>
      <w:tr>
        <w:tc>
          <w:tcPr>
            <w:tcW w:type="dxa" w:w="1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match.scored</w:t>
            </w:r>
          </w:p>
        </w:tc>
        <w:tc>
          <w:tcPr>
            <w:tcW w:type="dxa" w:w="2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scoring-engine</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candidate_id</w:t>
            </w:r>
          </w:p>
        </w:tc>
        <w:tc>
          <w:tcPr>
            <w:tcW w:type="dxa" w:w="31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match_id, candidate_id, score_vector, belt_level_checked, scored_at</w:t>
            </w:r>
          </w:p>
        </w:tc>
      </w:tr>
      <w:tr>
        <w:tc>
          <w:tcPr>
            <w:tcW w:type="dxa" w:w="1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belt.eligible</w:t>
            </w:r>
          </w:p>
        </w:tc>
        <w:tc>
          <w:tcPr>
            <w:tcW w:type="dxa" w:w="2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certification-engine</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candidate_id</w:t>
            </w:r>
          </w:p>
        </w:tc>
        <w:tc>
          <w:tcPr>
            <w:tcW w:type="dxa" w:w="31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candidate_id, belt_level, assessment_ids[], eligible_at</w:t>
            </w:r>
          </w:p>
        </w:tc>
      </w:tr>
      <w:tr>
        <w:tc>
          <w:tcPr>
            <w:tcW w:type="dxa" w:w="1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invoice.generated</w:t>
            </w:r>
          </w:p>
        </w:tc>
        <w:tc>
          <w:tcPr>
            <w:tcW w:type="dxa" w:w="2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billing-service</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90 days</w:t>
            </w:r>
          </w:p>
        </w:tc>
        <w:tc>
          <w:tcPr>
            <w:tcW w:type="dxa" w:w="13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tenant_id</w:t>
            </w:r>
          </w:p>
        </w:tc>
        <w:tc>
          <w:tcPr>
            <w:tcW w:type="dxa" w:w="31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invoice_id, tenant_id, amount, currency, billing_period, generated_at</w:t>
            </w:r>
          </w:p>
        </w:tc>
      </w:tr>
      <w:tr>
        <w:tc>
          <w:tcPr>
            <w:tcW w:type="dxa" w:w="1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idea.submitted</w:t>
            </w:r>
          </w:p>
        </w:tc>
        <w:tc>
          <w:tcPr>
            <w:tcW w:type="dxa" w:w="2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innovation-service</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candidate_id</w:t>
            </w:r>
          </w:p>
        </w:tc>
        <w:tc>
          <w:tcPr>
            <w:tcW w:type="dxa" w:w="31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idea_id, candidate_id, tenant_id, title, description_hash, submitted_at</w:t>
            </w:r>
          </w:p>
        </w:tc>
      </w:tr>
      <w:tr>
        <w:tc>
          <w:tcPr>
            <w:tcW w:type="dxa" w:w="1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idea.fingerprinted</w:t>
            </w:r>
          </w:p>
        </w:tc>
        <w:tc>
          <w:tcPr>
            <w:tcW w:type="dxa" w:w="2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innovation-service</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w:t>
            </w:r>
          </w:p>
        </w:tc>
        <w:tc>
          <w:tcPr>
            <w:tcW w:type="dxa" w:w="13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idea_id</w:t>
            </w:r>
          </w:p>
        </w:tc>
        <w:tc>
          <w:tcPr>
            <w:tcW w:type="dxa" w:w="31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idea_id, similarity_score, nearest_idea_ids[], fingerprinted_at</w:t>
            </w:r>
          </w:p>
        </w:tc>
      </w:tr>
      <w:tr>
        <w:tc>
          <w:tcPr>
            <w:tcW w:type="dxa" w:w="1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royalty.calculated</w:t>
            </w:r>
          </w:p>
        </w:tc>
        <w:tc>
          <w:tcPr>
            <w:tcW w:type="dxa" w:w="2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royalty-engine</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w:t>
            </w:r>
          </w:p>
        </w:tc>
        <w:tc>
          <w:tcPr>
            <w:tcW w:type="dxa" w:w="9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90 days</w:t>
            </w:r>
          </w:p>
        </w:tc>
        <w:tc>
          <w:tcPr>
            <w:tcW w:type="dxa" w:w="13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tenant_id</w:t>
            </w:r>
          </w:p>
        </w:tc>
        <w:tc>
          <w:tcPr>
            <w:tcW w:type="dxa" w:w="31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royalty_id, idea_id, licensor_id, licensee_id, amount, period</w:t>
            </w:r>
          </w:p>
        </w:tc>
      </w:tr>
    </w:tbl>
    <w:p>
      <w:pPr>
        <w:spacing w:before="50" w:after="0"/>
      </w:pPr>
      <w:r>
        <w:t xml:space="preserve"/>
      </w:r>
    </w:p>
    <w:p>
      <w:pPr>
        <w:spacing w:before="60" w:after="60"/>
      </w:pPr>
      <w:r>
        <w:rPr>
          <w:rFonts w:ascii="Calibri" w:cs="Calibri" w:eastAsia="Calibri" w:hAnsi="Calibri"/>
          <w:b w:val="false"/>
          <w:bCs w:val="false"/>
          <w:i w:val="false"/>
          <w:iCs w:val="false"/>
          <w:color w:val="1C2833"/>
          <w:sz w:val="22"/>
          <w:szCs w:val="22"/>
        </w:rPr>
        <w:t xml:space="preserve">Additional system inputs to Kafka include: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Schema registration requests: Producers register/update event schemas in Apicurio Registry over the HTTP Schema Registry API before the first publish to a new topic version.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Admin topic configuration: Topic creation, partition increase, retention policy changes applied via kafka-topics.sh or Helm chart values — executed through GitLab CI pipeline.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GD state overflow events: emitted internally by gd-orchestrator when Redis TTL expires unexpectedly mid-session.</w:t>
      </w:r>
    </w:p>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 — CONSUMERS &amp; ACTIONS TRIGGERED</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Events Consumed and Actions Produced</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Each Kafka topic is consumed by one or more downstream services. Consumer groups are isolated — multiple services can consume the same topic independently without affecting each other's offsets.</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680"/>
        <w:gridCol w:w="1200"/>
        <w:gridCol w:w="800"/>
      </w:tblGrid>
      <w:tr>
        <w:trPr>
          <w:tblHeader/>
        </w:trPr>
        <w:tc>
          <w:tcPr>
            <w:tcW w:type="dxa" w:w="16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Topic</w:t>
            </w:r>
          </w:p>
        </w:tc>
        <w:tc>
          <w:tcPr>
            <w:tcW w:type="dxa" w:w="24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Consumer(s)</w:t>
            </w:r>
          </w:p>
        </w:tc>
        <w:tc>
          <w:tcPr>
            <w:tcW w:type="dxa" w:w="24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Consumer Group Name Pattern</w:t>
            </w:r>
          </w:p>
        </w:tc>
        <w:tc>
          <w:tcPr>
            <w:tcW w:type="dxa" w:w="16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Action Triggered</w:t>
            </w:r>
          </w:p>
        </w:tc>
        <w:tc>
          <w:tcPr>
            <w:tcW w:type="dxa" w:w="12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DLQ Topic</w:t>
            </w:r>
          </w:p>
        </w:tc>
        <w:tc>
          <w:tcPr>
            <w:tcW w:type="dxa" w:w="8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Output</w:t>
            </w:r>
          </w:p>
        </w:tc>
      </w:tr>
      <w:tr>
        <w:tc>
          <w:tcPr>
            <w:tcW w:type="dxa" w:w="1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user.created</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notification-service, analytics-service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{svc}-user.created-consumer</w:t>
            </w:r>
          </w:p>
        </w:tc>
        <w:tc>
          <w:tcPr>
            <w:tcW w:type="dxa" w:w="1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Welcome email dispatch; user profile analytics entry created</w:t>
            </w:r>
          </w:p>
        </w:tc>
        <w:tc>
          <w:tcPr>
            <w:tcW w:type="dxa" w:w="1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user.created.dlq</w:t>
            </w:r>
          </w:p>
        </w:tc>
        <w:tc>
          <w:tcPr>
            <w:tcW w:type="dxa" w:w="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Email notification + ClickHouse profile record</w:t>
            </w:r>
          </w:p>
        </w:tc>
      </w:tr>
      <w:tr>
        <w:tc>
          <w:tcPr>
            <w:tcW w:type="dxa" w:w="1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job.applied</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notification-service, analytics-service, billing-service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{svc}-job.applied-consumer</w:t>
            </w:r>
          </w:p>
        </w:tc>
        <w:tc>
          <w:tcPr>
            <w:tcW w:type="dxa" w:w="1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Email to recruiter; funnel stage update; usage meter increment</w:t>
            </w:r>
          </w:p>
        </w:tc>
        <w:tc>
          <w:tcPr>
            <w:tcW w:type="dxa" w:w="1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job.applied.dlq</w:t>
            </w:r>
          </w:p>
        </w:tc>
        <w:tc>
          <w:tcPr>
            <w:tcW w:type="dxa" w:w="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 + funnel record + billing usage meter</w:t>
            </w:r>
          </w:p>
        </w:tc>
      </w:tr>
      <w:tr>
        <w:tc>
          <w:tcPr>
            <w:tcW w:type="dxa" w:w="1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interview.completed</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scoring-engine, analytics-service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{svc}-interview.completed-consumer</w:t>
            </w:r>
          </w:p>
        </w:tc>
        <w:tc>
          <w:tcPr>
            <w:tcW w:type="dxa" w:w="1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Multi-dimension score computation; funnel analytics update</w:t>
            </w:r>
          </w:p>
        </w:tc>
        <w:tc>
          <w:tcPr>
            <w:tcW w:type="dxa" w:w="1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interview.completed.dlq</w:t>
            </w:r>
          </w:p>
        </w:tc>
        <w:tc>
          <w:tcPr>
            <w:tcW w:type="dxa" w:w="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Score record written to PostgreSQL + ClickHouse</w:t>
            </w:r>
          </w:p>
        </w:tc>
      </w:tr>
      <w:tr>
        <w:tc>
          <w:tcPr>
            <w:tcW w:type="dxa" w:w="1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gd.completed</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scoring-engine, analytics-service, notification-service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{svc}-gd.completed-consumer</w:t>
            </w:r>
          </w:p>
        </w:tc>
        <w:tc>
          <w:tcPr>
            <w:tcW w:type="dxa" w:w="1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Bulk GD score compute; results email; ClickHouse session analytics</w:t>
            </w:r>
          </w:p>
        </w:tc>
        <w:tc>
          <w:tcPr>
            <w:tcW w:type="dxa" w:w="1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gd.completed.dlq</w:t>
            </w:r>
          </w:p>
        </w:tc>
        <w:tc>
          <w:tcPr>
            <w:tcW w:type="dxa" w:w="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Score vector + notification + analytics row</w:t>
            </w:r>
          </w:p>
        </w:tc>
      </w:tr>
      <w:tr>
        <w:tc>
          <w:tcPr>
            <w:tcW w:type="dxa" w:w="1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match.scored</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certification-engine, analytics-service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{svc}-match.scored-consumer</w:t>
            </w:r>
          </w:p>
        </w:tc>
        <w:tc>
          <w:tcPr>
            <w:tcW w:type="dxa" w:w="1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Belt eligibility check; dojo performance record</w:t>
            </w:r>
          </w:p>
        </w:tc>
        <w:tc>
          <w:tcPr>
            <w:tcW w:type="dxa" w:w="1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match.scored.dlq</w:t>
            </w:r>
          </w:p>
        </w:tc>
        <w:tc>
          <w:tcPr>
            <w:tcW w:type="dxa" w:w="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belt.eligible event (if threshold met) + ClickHouse record</w:t>
            </w:r>
          </w:p>
        </w:tc>
      </w:tr>
      <w:tr>
        <w:tc>
          <w:tcPr>
            <w:tcW w:type="dxa" w:w="1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belt.eligible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notification-service, admin-service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{svc}-belt.eligible-consumer</w:t>
            </w:r>
          </w:p>
        </w:tc>
        <w:tc>
          <w:tcPr>
            <w:tcW w:type="dxa" w:w="1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Mentor confirmation flow trigger; candidate notification</w:t>
            </w:r>
          </w:p>
        </w:tc>
        <w:tc>
          <w:tcPr>
            <w:tcW w:type="dxa" w:w="1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belt.eligible.dlq</w:t>
            </w:r>
          </w:p>
        </w:tc>
        <w:tc>
          <w:tcPr>
            <w:tcW w:type="dxa" w:w="8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Push/email notification + admin review queue entry</w:t>
            </w:r>
          </w:p>
        </w:tc>
      </w:tr>
      <w:tr>
        <w:tc>
          <w:tcPr>
            <w:tcW w:type="dxa" w:w="1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invoice.generated</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notification-service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notification-service-invoice.generated-consumer</w:t>
            </w:r>
          </w:p>
        </w:tc>
        <w:tc>
          <w:tcPr>
            <w:tcW w:type="dxa" w:w="1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Invoice email to recruiter</w:t>
            </w:r>
          </w:p>
        </w:tc>
        <w:tc>
          <w:tcPr>
            <w:tcW w:type="dxa" w:w="1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invoice.generated.dlq</w:t>
            </w:r>
          </w:p>
        </w:tc>
        <w:tc>
          <w:tcPr>
            <w:tcW w:type="dxa" w:w="8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Email with PDF invoice attachment via MinIO link</w:t>
            </w:r>
          </w:p>
        </w:tc>
      </w:tr>
    </w:tbl>
    <w:p>
      <w:pPr>
        <w:spacing w:before="50" w:after="0"/>
      </w:pPr>
      <w:r>
        <w:t xml:space="preserve"/>
      </w:r>
    </w:p>
    <w:p>
      <w:pPr>
        <w:pStyle w:val="Heading3"/>
        <w:spacing w:before="220" w:after="80"/>
      </w:pPr>
      <w:r>
        <w:rPr>
          <w:rFonts w:ascii="Calibri" w:cs="Calibri" w:eastAsia="Calibri" w:hAnsi="Calibri"/>
          <w:b/>
          <w:bCs/>
          <w:color w:val="1B2A4A"/>
          <w:sz w:val="22"/>
          <w:szCs w:val="22"/>
        </w:rPr>
        <w:t xml:space="preserve">DLQ Output Behaviour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 DLQ topics (*.dlq) are monitored on the Ecoskiller Grafana dashboard. An alert fires if any DLQ accumulates more than 10 messages in a 5-minute window.</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DLQ events are not automatically replayed — an operator must inspect the event payload, resolve the root cause, and trigger manual replay via kafka-consumer-groups.sh or an admin API.</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During a PostgreSQL outage, services queue failed writes to Kafka DLQ topics to prevent data loss until the database recovers.</w:t>
      </w:r>
    </w:p>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What Kafka Depends On and What Depends on Kafka</w:t>
      </w:r>
    </w:p>
    <w:p>
      <w:pPr>
        <w:spacing w:before="60" w:after="0"/>
      </w:pPr>
      <w:r>
        <w:t xml:space="preserve"/>
      </w:r>
    </w:p>
    <w:p>
      <w:pPr>
        <w:pStyle w:val="Heading3"/>
        <w:spacing w:before="220" w:after="80"/>
      </w:pPr>
      <w:r>
        <w:rPr>
          <w:rFonts w:ascii="Calibri" w:cs="Calibri" w:eastAsia="Calibri" w:hAnsi="Calibri"/>
          <w:b/>
          <w:bCs/>
          <w:color w:val="1B2A4A"/>
          <w:sz w:val="22"/>
          <w:szCs w:val="22"/>
        </w:rPr>
        <w:t xml:space="preserve">7.1  Infrastructure Kafka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k3s Kubernetes</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brokers run as StatefulSets in the k3s Data Worker Pool (GCP n2-standard-8 / AWS m5.2xlarge). Kubernetes provides pod scheduling, liveness probes, readiness gates, and rolling upgrade orchestration.</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Longhorn PVC</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broker log segments (topic data) and __consumer_offsets metadata are stored on Longhorn PVCs (200 GB SSD, Data Worker Pool). Without persistent storage, broker restart = data loss.</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Apicurio Schema Registry</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schema registry (Avro/JSON). All producers must register schemas; all consumers validate incoming event payloads. Runs in the messaging namespace alongside Kafka.</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Kubernetes Secrets</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SASL credentials (secret/{env}/kafka) stored as Kubernetes Secrets, namespaced per environment (dev / test / stage / prod). Mounted into producer and consumer pods as environment variables.</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CoreDNS (k3s built-in)</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 DNS resolution for Kafka broker headless service endpoints (e.g., kafka-0.kafka-headless.messaging.svc.cluster.local). Required for broker leader election and inter-broker replication.</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Prometheus</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JMX metrics (consumer lag, under-replicated partitions, broker request rate, produce/fetch latency) are scraped by Prometheus. Consumer lag SLO alert: lag &gt; 5,000 for &gt; 10 min.</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Helm v3.x + GitLab CI</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deployed via Helm chart. Topic creation, partition count, and retention changes are applied through GitLab CI pipeline with environment-specific value overrides.</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ZooKeeper / KRaft</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3.7.0 supports KRaft mode (no ZooKeeper dependency). The platform uses KRaft for metadata management in k3s — eliminates a separate ZooKeeper StatefulSet and reduces operational complexity.</w:t>
            </w:r>
          </w:p>
        </w:tc>
      </w:tr>
    </w:tbl>
    <w:p>
      <w:pPr>
        <w:spacing w:before="60" w:after="0"/>
      </w:pPr>
      <w:r>
        <w:t xml:space="preserve"/>
      </w:r>
    </w:p>
    <w:p>
      <w:pPr>
        <w:pStyle w:val="Heading3"/>
        <w:spacing w:before="220" w:after="80"/>
      </w:pPr>
      <w:r>
        <w:rPr>
          <w:rFonts w:ascii="Calibri" w:cs="Calibri" w:eastAsia="Calibri" w:hAnsi="Calibri"/>
          <w:b/>
          <w:bCs/>
          <w:color w:val="1B2A4A"/>
          <w:sz w:val="22"/>
          <w:szCs w:val="22"/>
        </w:rPr>
        <w:t xml:space="preserve">7.2  Microservices That Produce Events to Kafka</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gd-orchestrator</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gd.completed after every Group Discussion session terminates (pass, fail, or timeout). Highest-frequency producer — fires after every GD session across all active tenants.</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interview-service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interview.completed when a structured interview session ends. Triggers scoring-engine and analytics pipeline.</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scoring-engine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match.scored after computing multi-dimensional assessment scores. Acts as both consumer (interview.completed, gd.completed) and producer (match.scored).</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billing-service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invoice.generated upon successful invoice creation. Also consumes job.applied to meter usage per tenant.</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user-service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user.created on new user registration (recruiter or candidate). Triggers welcome notifications and analytics profile creation.</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application-service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job.applied when a candidate submits a job application. Triggers recruiter notification, funnel analytics, and billing meter.</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certification-engine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belt.eligible when a candidate's match.scored event meets belt threshold criteria. Also consumes match.scored.</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innovation-service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idea.submitted and idea.fingerprinted events for IP timestamping and similarity detection pipeline.</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royalty-engine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Publishes royalty.calculated and royalty.payout.processed events for the double-entry royalty accounting flow.</w:t>
            </w:r>
          </w:p>
        </w:tc>
      </w:tr>
    </w:tbl>
    <w:p>
      <w:pPr>
        <w:spacing w:before="60" w:after="0"/>
      </w:pPr>
      <w:r>
        <w:t xml:space="preserve"/>
      </w:r>
    </w:p>
    <w:p>
      <w:pPr>
        <w:pStyle w:val="Heading3"/>
        <w:spacing w:before="220" w:after="80"/>
      </w:pPr>
      <w:r>
        <w:rPr>
          <w:rFonts w:ascii="Calibri" w:cs="Calibri" w:eastAsia="Calibri" w:hAnsi="Calibri"/>
          <w:b/>
          <w:bCs/>
          <w:color w:val="1B2A4A"/>
          <w:sz w:val="22"/>
          <w:szCs w:val="22"/>
        </w:rPr>
        <w:t xml:space="preserve">7.3  Microservices That Consume Events from Kafka</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scoring-engine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gd.completed and interview.completed. Core consumer — computes multi-dimension scores and publishes match.scored. Consumer lag on this group is the primary Kafka SLO indicator.</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notification-service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user.created, gd.completed, belt.eligible, invoice.generated, interview.completed. Multi-channel delivery (email/SMS/push). Pure consumer — no Kafka producer role.</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analytics-service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user.created, job.applied, gd.completed, interview.completed, match.scored. Writes ClickHouse records for all funnel, scoring, and session analytics.</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certification-engine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match.scored. Evaluates belt eligibility and produces belt.eligible. Acts as both consumer and producer.</w:t>
            </w:r>
          </w:p>
        </w:tc>
      </w:tr>
      <w:tr>
        <w:tc>
          <w:tcPr>
            <w:tcW w:type="dxa" w:w="30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admin-service</w:t>
            </w:r>
          </w:p>
        </w:tc>
        <w:tc>
          <w:tcPr>
            <w:tcW w:type="dxa" w:w="7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belt.eligible. Triggers mentor confirmation review queue for senior belt levels. Provides governance visibility.</w:t>
            </w:r>
          </w:p>
        </w:tc>
      </w:tr>
      <w:tr>
        <w:tc>
          <w:tcPr>
            <w:tcW w:type="dxa" w:w="30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billing-service</w:t>
            </w:r>
          </w:p>
        </w:tc>
        <w:tc>
          <w:tcPr>
            <w:tcW w:type="dxa" w:w="7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job.applied to increment per-tenant usage metering counters. Feeds into subscription quota enforcement.</w:t>
            </w:r>
          </w:p>
        </w:tc>
      </w:tr>
    </w:tbl>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4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50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Role in Kafka Service</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Event Broker</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Apache Kafka 3.7.0</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Distributed, partitioned, replicated log. Core message bus for all cross-domain events in Ecoskiller.</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Metadata Mgmt</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KRaft (Kafka Raft, built-in)</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Replaces ZooKeeper for broker metadata and leader election. Reduces operational overhead — no separate ZooKeeper StatefulSet required.</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Schema Registry</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Apicurio Registry (latest)</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open-source schema registry (replaces Confluent). Enforces Avro/JSON schemas. HTTP API compatible with Confluent Schema Registry clients.</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Container Image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apache/kafka:3.7.0</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Official Apache Kafka Docker image. Pinned to 3.7.0 for reproducibility. Deployed as a Kubernetes StatefulSet.</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Persistent Storage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PVC (k3s)</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broker log segments and __consumer_offsets stored on Longhorn PVCs. 200 GB SSD per Data Worker Pool node.</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Kubernetes Runtime</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(self-managed)</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CNCF-certified lightweight Kubernetes distribution. Runs Kafka StatefulSet in Data Worker Pool. HPA and pod disruption budgets configured.</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Package Manager</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v3.x</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deployed and upgraded via Helm chart. Environment-specific values (replication factor, topic config, retention) managed as Helm value overlays.</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Secrets Management</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SASL credentials stored as Kubernetes Secrets (secret/{env}/kafka). Accessible to all namespaces. Mounted as env vars in producer/consumer pods.</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Monitoring</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Kafka JMX metrics. Consumer lag, under-replicated partitions, and produce/fetch latency tracked on Grafana SLO dashboard.</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Distributed Tracing</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 (OTel Agent)</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Java agent auto-instruments Kafka producer/consumer spans. Traces shipped to Grafana Tempo via OTel Collector in ops namespace.</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Producer Language</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(KafkaJS / kafkajs)</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13 Ecoskiller custom microservices are Node.js services. KafkaJS is the primary Kafka client library used in producers and consumers.</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CI/CD</w:t>
            </w:r>
          </w:p>
        </w:tc>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w:t>
            </w:r>
          </w:p>
        </w:tc>
        <w:tc>
          <w:tcPr>
            <w:tcW w:type="dxa" w:w="50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Topic configuration changes, schema registration, and Helm chart upgrades executed through GitLab CI pipelines. Harbor (self-hosted) as container registry.</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DNS</w:t>
            </w:r>
          </w:p>
        </w:tc>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CoreDNS (built into k3s)</w:t>
            </w:r>
          </w:p>
        </w:tc>
        <w:tc>
          <w:tcPr>
            <w:tcW w:type="dxa" w:w="50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Resolves Kafka broker headless service endpoints for inter-broker replication and producer/consumer connection bootstrap.</w:t>
            </w:r>
          </w:p>
        </w:tc>
      </w:tr>
    </w:tbl>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How Kafka Enables the Ecoskiller Platform</w:t>
      </w:r>
    </w:p>
    <w:p>
      <w:pPr>
        <w:spacing w:before="60" w:after="0"/>
      </w:pPr>
      <w:r>
        <w:t xml:space="preserve"/>
      </w:r>
    </w:p>
    <w:p>
      <w:pPr>
        <w:pStyle w:val="Heading3"/>
        <w:spacing w:before="220" w:after="80"/>
      </w:pPr>
      <w:r>
        <w:rPr>
          <w:rFonts w:ascii="Calibri" w:cs="Calibri" w:eastAsia="Calibri" w:hAnsi="Calibri"/>
          <w:b/>
          <w:bCs/>
          <w:color w:val="1B2A4A"/>
          <w:sz w:val="22"/>
          <w:szCs w:val="22"/>
        </w:rPr>
        <w:t xml:space="preserve">9.1  Enables Independent Service Deployment</w:t>
      </w:r>
    </w:p>
    <w:p>
      <w:pPr>
        <w:spacing w:before="60" w:after="60"/>
      </w:pPr>
      <w:r>
        <w:rPr>
          <w:rFonts w:ascii="Calibri" w:cs="Calibri" w:eastAsia="Calibri" w:hAnsi="Calibri"/>
          <w:b w:val="false"/>
          <w:bCs w:val="false"/>
          <w:i w:val="false"/>
          <w:iCs w:val="false"/>
          <w:color w:val="1C2833"/>
          <w:sz w:val="22"/>
          <w:szCs w:val="22"/>
        </w:rPr>
        <w:t xml:space="preserve">Ecoskiller runs 13 custom microservices across billing, scoring, certification, notifications, analytics, and media domains. Without Kafka, each deployment would require coordinating availability across all consumer services simultaneously. With Kafka, each service can be deployed, restarted, or scaled independently — Kafka holds events during downtime and delivers them when the consumer recovers. This is the architectural prerequisite for the platform's zero-downtime deploy goal.</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9.2  Protects AI Assessment Results from Data Loss</w:t>
      </w:r>
    </w:p>
    <w:p>
      <w:pPr>
        <w:spacing w:before="60" w:after="60"/>
      </w:pPr>
      <w:r>
        <w:rPr>
          <w:rFonts w:ascii="Calibri" w:cs="Calibri" w:eastAsia="Calibri" w:hAnsi="Calibri"/>
          <w:b w:val="false"/>
          <w:bCs w:val="false"/>
          <w:i w:val="false"/>
          <w:iCs w:val="false"/>
          <w:color w:val="1C2833"/>
          <w:sz w:val="22"/>
          <w:szCs w:val="22"/>
        </w:rPr>
        <w:t xml:space="preserve">Assessment events (gd.completed, interview.completed, match.scored) represent non-reproducible, high-value data generated during live candidate sessions. Kafka's replication factor of 3 and 30-day retention ensure these events are not lost due to a single broker failure, a consumer crash, or a downstream service (scoring-engine, analytics-service) temporary outage. During a PostgreSQL outage, services queue failed writes to Kafka DLQ topics — ensuring assessment data is never discarded.</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9.3  Eliminates Billing and Notification Coupling</w:t>
      </w:r>
    </w:p>
    <w:p>
      <w:pPr>
        <w:spacing w:before="60" w:after="60"/>
      </w:pPr>
      <w:r>
        <w:rPr>
          <w:rFonts w:ascii="Calibri" w:cs="Calibri" w:eastAsia="Calibri" w:hAnsi="Calibri"/>
          <w:b w:val="false"/>
          <w:bCs w:val="false"/>
          <w:i w:val="false"/>
          <w:iCs w:val="false"/>
          <w:color w:val="1C2833"/>
          <w:sz w:val="22"/>
          <w:szCs w:val="22"/>
        </w:rPr>
        <w:t xml:space="preserve">billing-service needs to know when a job application is submitted (to meter usage) and when an invoice is generated (to send email). Without Kafka, it would require direct HTTP calls to the scoring and notification services — creating tight coupling. With Kafka, billing-service publishes invoice.generated and consumes job.applied with no knowledge of what notification-service does with those events. This separation allows the billing domain to evolve independently of notification delivery logic.</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9.4  Zero Cost Event Streaming Infrastructure</w:t>
      </w:r>
    </w:p>
    <w:p>
      <w:pPr>
        <w:spacing w:before="60" w:after="60"/>
      </w:pPr>
      <w:r>
        <w:rPr>
          <w:rFonts w:ascii="Calibri" w:cs="Calibri" w:eastAsia="Calibri" w:hAnsi="Calibri"/>
          <w:b w:val="false"/>
          <w:bCs w:val="false"/>
          <w:i w:val="false"/>
          <w:iCs w:val="false"/>
          <w:color w:val="1C2833"/>
          <w:sz w:val="22"/>
          <w:szCs w:val="22"/>
        </w:rPr>
        <w:t xml:space="preserve">Ecoskiller's infrastructure principle is zero paid SaaS services. Running Kafka 3.7.0 self-managed on k3s eliminates Confluent Cloud (billed per CKU/hour) and AWS MSK (billed per broker-hour) costs entirely. The Apicurio Registry replaces the paid Confluent Schema Registry. At any meaningful assessment volume (thousands of candidates per day), the cost saving versus managed Kafka services is substantial and scales proportionally with platform growth.</w:t>
      </w:r>
    </w:p>
    <w:p>
      <w:pPr>
        <w:spacing w:before="40" w:after="0"/>
      </w:pPr>
      <w:r>
        <w:t xml:space="preserve"/>
      </w:r>
    </w:p>
    <w:p>
      <w:pPr>
        <w:pStyle w:val="Heading3"/>
        <w:spacing w:before="220" w:after="80"/>
      </w:pPr>
      <w:r>
        <w:rPr>
          <w:rFonts w:ascii="Calibri" w:cs="Calibri" w:eastAsia="Calibri" w:hAnsi="Calibri"/>
          <w:b/>
          <w:bCs/>
          <w:color w:val="1B2A4A"/>
          <w:sz w:val="22"/>
          <w:szCs w:val="22"/>
        </w:rPr>
        <w:t xml:space="preserve">9.5  Foundation for Future Streaming Analytics</w:t>
      </w:r>
    </w:p>
    <w:p>
      <w:pPr>
        <w:spacing w:before="60" w:after="60"/>
      </w:pPr>
      <w:r>
        <w:rPr>
          <w:rFonts w:ascii="Calibri" w:cs="Calibri" w:eastAsia="Calibri" w:hAnsi="Calibri"/>
          <w:b w:val="false"/>
          <w:bCs w:val="false"/>
          <w:i w:val="false"/>
          <w:iCs w:val="false"/>
          <w:color w:val="1C2833"/>
          <w:sz w:val="22"/>
          <w:szCs w:val="22"/>
        </w:rPr>
        <w:t xml:space="preserve">The Ecoskiller architecture roadmap includes Kafka Streams-based real-time intelligence profiling (Stream Intelligence Layer — Section 4.5) and fraud detection models. Because Kafka is already the platform's event bus, implementing streaming analytics requires only adding a new consumer group to existing topics — no new infrastructure. The XI Intelligence Profile and XII Innovation Registry services are both designed as Kafka consumers, enabling passive behavioural signal collection from live assessment events without instrumenting the source microservices.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Business Metric</w:t>
            </w:r>
          </w:p>
        </w:tc>
        <w:tc>
          <w:tcPr>
            <w:tcW w:type="dxa" w:w="6880"/>
            <w:tcBorders>
              <w:top w:val="single" w:color="F1948A" w:sz="2"/>
              <w:left w:val="single" w:color="F1948A" w:sz="2"/>
              <w:bottom w:val="single" w:color="F1948A" w:sz="2"/>
              <w:right w:val="single" w:color="F1948A" w:sz="2"/>
            </w:tcBorders>
            <w:shd w:fill="1B2A4A" w:val="clear"/>
            <w:tcMar>
              <w:top w:type="dxa" w:w="80"/>
              <w:left w:type="dxa" w:w="140"/>
              <w:bottom w:type="dxa" w:w="80"/>
              <w:right w:type="dxa" w:w="140"/>
            </w:tcMar>
          </w:tcPr>
          <w:p>
            <w:r>
              <w:rPr>
                <w:rFonts w:ascii="Calibri" w:cs="Calibri" w:eastAsia="Calibri" w:hAnsi="Calibri"/>
                <w:b/>
                <w:bCs/>
                <w:color w:val="FFFFFF"/>
                <w:sz w:val="20"/>
                <w:szCs w:val="20"/>
              </w:rPr>
              <w:t xml:space="preserve">Kafka Contribution</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Zero-Downtime Deploys</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Event retention + consumer group offset management allows services to deploy independently without losing in-flight events.</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Assessment Data Durability</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Replication factor 3 + 30-day retention ensures gd.completed and interview.completed events survive broker failure and consumer downtime.</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Zero Kafka SaaS Cost</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on k3s. No Confluent Cloud, no AWS MSK charges. Apicurio Registry replaces Confluent Schema Registry.</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Fan-Out Notification</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Single event (gd.completed) drives simultaneous scoring, analytics, and notification — zero extra producer code.</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Consumer Lag SLO</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consumer lag monitoring with SLO alert (lag &gt; 5,000 for &gt; 10 min) provides early warning of scoring-engine outages.</w:t>
            </w:r>
          </w:p>
        </w:tc>
      </w:tr>
      <w:tr>
        <w:tc>
          <w:tcPr>
            <w:tcW w:type="dxa" w:w="32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DLQ Data Safety Net</w:t>
            </w:r>
          </w:p>
        </w:tc>
        <w:tc>
          <w:tcPr>
            <w:tcW w:type="dxa" w:w="68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DLQ topics prevent poison-pill messages from blocking assessment pipelines; failed events are preserved for manual replay.</w:t>
            </w:r>
          </w:p>
        </w:tc>
      </w:tr>
      <w:tr>
        <w:tc>
          <w:tcPr>
            <w:tcW w:type="dxa" w:w="32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Future Analytics Readiness</w:t>
            </w:r>
          </w:p>
        </w:tc>
        <w:tc>
          <w:tcPr>
            <w:tcW w:type="dxa" w:w="68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Streams integration (planned) for XI Intelligence Profile and fraud detection requires zero new infrastructure.</w:t>
            </w:r>
          </w:p>
        </w:tc>
      </w:tr>
    </w:tbl>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Kafka Configuration Standards</w:t>
      </w:r>
    </w:p>
    <w:p>
      <w:pPr>
        <w:spacing w:before="60" w:after="0"/>
      </w:pPr>
      <w:r>
        <w:t xml:space="preserve"/>
      </w:r>
    </w:p>
    <w:p>
      <w:pPr>
        <w:pStyle w:val="Heading3"/>
        <w:spacing w:before="220" w:after="80"/>
      </w:pPr>
      <w:r>
        <w:rPr>
          <w:rFonts w:ascii="Calibri" w:cs="Calibri" w:eastAsia="Calibri" w:hAnsi="Calibri"/>
          <w:b/>
          <w:bCs/>
          <w:color w:val="1B2A4A"/>
          <w:sz w:val="22"/>
          <w:szCs w:val="22"/>
        </w:rPr>
        <w:t xml:space="preserve">10.1  Topic Configuration 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Replication Factor</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 for all production topics. Requires minimum 3 Kafka brokers in production deployment.</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Partition Counts</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 partitions: low-volume topics (user.created, match.scored, belt.eligible, invoice.generated). 6 partitions: high-volume topics (gd.completed, interview.completed, job.applied).</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Retention Policy</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days: user.created. 30 days: job.applied, gd.completed, interview.completed, match.scored, belt.eligible. 90 days: invoice.generated, royalty.calculated.</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Topic Naming</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Domain-scoped lowercase dot-notation: {domain}.{event} (e.g., gd.completed, belt.eligible). DLQ topics: {topic}.dlq (e.g., gd.completed.dlq).</w:t>
            </w:r>
          </w:p>
        </w:tc>
      </w:tr>
      <w:tr>
        <w:tc>
          <w:tcPr>
            <w:tcW w:type="dxa" w:w="26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Environment Prefix</w:t>
            </w:r>
          </w:p>
        </w:tc>
        <w:tc>
          <w:tcPr>
            <w:tcW w:type="dxa" w:w="74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 / test.* / stage.* per environment. Production topics carry no prefix. Enforced via Helm environment value overlays.</w:t>
            </w:r>
          </w:p>
        </w:tc>
      </w:tr>
      <w:tr>
        <w:tc>
          <w:tcPr>
            <w:tcW w:type="dxa" w:w="26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Partition Key</w:t>
            </w:r>
          </w:p>
        </w:tc>
        <w:tc>
          <w:tcPr>
            <w:tcW w:type="dxa" w:w="74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tenant_id for tenant-scoped events. session_id or candidate_id for assessment-scoped events. Ensures related events land on the same partition (ordering guarantee).</w:t>
            </w:r>
          </w:p>
        </w:tc>
      </w:tr>
    </w:tbl>
    <w:p>
      <w:pPr>
        <w:spacing w:before="60" w:after="0"/>
      </w:pPr>
      <w:r>
        <w:t xml:space="preserve"/>
      </w:r>
    </w:p>
    <w:p>
      <w:pPr>
        <w:pStyle w:val="Heading3"/>
        <w:spacing w:before="220" w:after="80"/>
      </w:pPr>
      <w:r>
        <w:rPr>
          <w:rFonts w:ascii="Calibri" w:cs="Calibri" w:eastAsia="Calibri" w:hAnsi="Calibri"/>
          <w:b/>
          <w:bCs/>
          <w:color w:val="1B2A4A"/>
          <w:sz w:val="22"/>
          <w:szCs w:val="22"/>
        </w:rPr>
        <w:t xml:space="preserve">10.2  Consumer Group Naming Convention</w:t>
      </w:r>
    </w:p>
    <w:p>
      <w:pPr>
        <w:shd w:fill="F4F6F7" w:val="clear"/>
        <w:spacing w:before="20" w:after="20"/>
        <w:ind w:left="360"/>
      </w:pPr>
      <w:r>
        <w:rPr>
          <w:rFonts w:ascii="Courier New" w:cs="Courier New" w:eastAsia="Courier New" w:hAnsi="Courier New"/>
          <w:color w:val="1B2A4A"/>
          <w:sz w:val="18"/>
          <w:szCs w:val="18"/>
        </w:rPr>
        <w:t xml:space="preserve"># Pattern: {service-name}-{topic-name}-consumer</w:t>
      </w:r>
    </w:p>
    <w:p>
      <w:pPr>
        <w:shd w:fill="F4F6F7" w:val="clear"/>
        <w:spacing w:before="20" w:after="20"/>
        <w:ind w:left="360"/>
      </w:pPr>
      <w:r>
        <w:rPr>
          <w:rFonts w:ascii="Courier New" w:cs="Courier New" w:eastAsia="Courier New" w:hAnsi="Courier New"/>
          <w:color w:val="1B2A4A"/>
          <w:sz w:val="18"/>
          <w:szCs w:val="18"/>
        </w:rPr>
        <w:t xml:space="preserve"># Examples:</w:t>
      </w:r>
    </w:p>
    <w:p>
      <w:pPr>
        <w:shd w:fill="F4F6F7" w:val="clear"/>
        <w:spacing w:before="20" w:after="20"/>
        <w:ind w:left="360"/>
      </w:pPr>
      <w:r>
        <w:rPr>
          <w:rFonts w:ascii="Courier New" w:cs="Courier New" w:eastAsia="Courier New" w:hAnsi="Courier New"/>
          <w:color w:val="1B2A4A"/>
          <w:sz w:val="18"/>
          <w:szCs w:val="18"/>
        </w:rPr>
        <w:t xml:space="preserve">scoring-engine-gd.completed-consumer</w:t>
      </w:r>
    </w:p>
    <w:p>
      <w:pPr>
        <w:shd w:fill="F4F6F7" w:val="clear"/>
        <w:spacing w:before="20" w:after="20"/>
        <w:ind w:left="360"/>
      </w:pPr>
      <w:r>
        <w:rPr>
          <w:rFonts w:ascii="Courier New" w:cs="Courier New" w:eastAsia="Courier New" w:hAnsi="Courier New"/>
          <w:color w:val="1B2A4A"/>
          <w:sz w:val="18"/>
          <w:szCs w:val="18"/>
        </w:rPr>
        <w:t xml:space="preserve">scoring-engine-interview.completed-consumer</w:t>
      </w:r>
    </w:p>
    <w:p>
      <w:pPr>
        <w:shd w:fill="F4F6F7" w:val="clear"/>
        <w:spacing w:before="20" w:after="20"/>
        <w:ind w:left="360"/>
      </w:pPr>
      <w:r>
        <w:rPr>
          <w:rFonts w:ascii="Courier New" w:cs="Courier New" w:eastAsia="Courier New" w:hAnsi="Courier New"/>
          <w:color w:val="1B2A4A"/>
          <w:sz w:val="18"/>
          <w:szCs w:val="18"/>
        </w:rPr>
        <w:t xml:space="preserve">notification-service-belt.eligible-consumer</w:t>
      </w:r>
    </w:p>
    <w:p>
      <w:pPr>
        <w:shd w:fill="F4F6F7" w:val="clear"/>
        <w:spacing w:before="20" w:after="20"/>
        <w:ind w:left="360"/>
      </w:pPr>
      <w:r>
        <w:rPr>
          <w:rFonts w:ascii="Courier New" w:cs="Courier New" w:eastAsia="Courier New" w:hAnsi="Courier New"/>
          <w:color w:val="1B2A4A"/>
          <w:sz w:val="18"/>
          <w:szCs w:val="18"/>
        </w:rPr>
        <w:t xml:space="preserve">analytics-service-gd.completed-consumer</w:t>
      </w:r>
    </w:p>
    <w:p>
      <w:pPr>
        <w:shd w:fill="F4F6F7" w:val="clear"/>
        <w:spacing w:before="20" w:after="20"/>
        <w:ind w:left="360"/>
      </w:pPr>
      <w:r>
        <w:rPr>
          <w:rFonts w:ascii="Courier New" w:cs="Courier New" w:eastAsia="Courier New" w:hAnsi="Courier New"/>
          <w:color w:val="1B2A4A"/>
          <w:sz w:val="18"/>
          <w:szCs w:val="18"/>
        </w:rPr>
        <w:t xml:space="preserve">billing-service-job.applied-consumer</w:t>
      </w:r>
    </w:p>
    <w:p>
      <w:pPr>
        <w:spacing w:before="50" w:after="0"/>
      </w:pPr>
      <w:r>
        <w:t xml:space="preserve"/>
      </w:r>
    </w:p>
    <w:p>
      <w:pPr>
        <w:pStyle w:val="Heading3"/>
        <w:spacing w:before="220" w:after="80"/>
      </w:pPr>
      <w:r>
        <w:rPr>
          <w:rFonts w:ascii="Calibri" w:cs="Calibri" w:eastAsia="Calibri" w:hAnsi="Calibri"/>
          <w:b/>
          <w:bCs/>
          <w:color w:val="1B2A4A"/>
          <w:sz w:val="22"/>
          <w:szCs w:val="22"/>
        </w:rPr>
        <w:t xml:space="preserve">10.3  DLQ Policy</w:t>
      </w:r>
    </w:p>
    <w:p>
      <w:pPr>
        <w:shd w:fill="F4F6F7" w:val="clear"/>
        <w:spacing w:before="20" w:after="20"/>
        <w:ind w:left="360"/>
      </w:pPr>
      <w:r>
        <w:rPr>
          <w:rFonts w:ascii="Courier New" w:cs="Courier New" w:eastAsia="Courier New" w:hAnsi="Courier New"/>
          <w:color w:val="1B2A4A"/>
          <w:sz w:val="18"/>
          <w:szCs w:val="18"/>
        </w:rPr>
        <w:t xml:space="preserve"># Every consumer group must implement:</w:t>
      </w:r>
    </w:p>
    <w:p>
      <w:pPr>
        <w:shd w:fill="F4F6F7" w:val="clear"/>
        <w:spacing w:before="20" w:after="20"/>
        <w:ind w:left="360"/>
      </w:pPr>
      <w:r>
        <w:rPr>
          <w:rFonts w:ascii="Courier New" w:cs="Courier New" w:eastAsia="Courier New" w:hAnsi="Courier New"/>
          <w:color w:val="1B2A4A"/>
          <w:sz w:val="18"/>
          <w:szCs w:val="18"/>
        </w:rPr>
        <w:t xml:space="preserve">maxRetries: 3</w:t>
      </w:r>
    </w:p>
    <w:p>
      <w:pPr>
        <w:shd w:fill="F4F6F7" w:val="clear"/>
        <w:spacing w:before="20" w:after="20"/>
        <w:ind w:left="360"/>
      </w:pPr>
      <w:r>
        <w:rPr>
          <w:rFonts w:ascii="Courier New" w:cs="Courier New" w:eastAsia="Courier New" w:hAnsi="Courier New"/>
          <w:color w:val="1B2A4A"/>
          <w:sz w:val="18"/>
          <w:szCs w:val="18"/>
        </w:rPr>
        <w:t xml:space="preserve">onFailure: publish to {topic}.dlq</w:t>
      </w:r>
    </w:p>
    <w:p>
      <w:pPr>
        <w:shd w:fill="F4F6F7" w:val="clear"/>
        <w:spacing w:before="20" w:after="20"/>
        <w:ind w:left="360"/>
      </w:pPr>
      <w:r>
        <w:rPr>
          <w:rFonts w:ascii="Courier New" w:cs="Courier New" w:eastAsia="Courier New" w:hAnsi="Courier New"/>
          <w:color w:val="1B2A4A"/>
          <w:sz w:val="18"/>
          <w:szCs w:val="18"/>
        </w:rPr>
        <w:t xml:space="preserve"># Example: gd.completed failures → gd.completed.dlq</w:t>
      </w:r>
    </w:p>
    <w:p>
      <w:pPr>
        <w:shd w:fill="F4F6F7" w:val="clear"/>
        <w:spacing w:before="20" w:after="20"/>
        <w:ind w:left="360"/>
      </w:pPr>
      <w:r>
        <w:rPr>
          <w:rFonts w:ascii="Courier New" w:cs="Courier New" w:eastAsia="Courier New" w:hAnsi="Courier New"/>
          <w:color w:val="1B2A4A"/>
          <w:sz w:val="18"/>
          <w:szCs w:val="18"/>
        </w:rPr>
        <w:t xml:space="preserve"># Grafana alert: DLQ depth &gt; 10 messages in 5 min</w:t>
      </w:r>
    </w:p>
    <w:p>
      <w:pPr>
        <w:spacing w:before="50" w:after="0"/>
      </w:pPr>
      <w:r>
        <w:t xml:space="preserve"/>
      </w:r>
    </w:p>
    <w:p>
      <w:pPr>
        <w:pStyle w:val="Heading3"/>
        <w:spacing w:before="220" w:after="80"/>
      </w:pPr>
      <w:r>
        <w:rPr>
          <w:rFonts w:ascii="Calibri" w:cs="Calibri" w:eastAsia="Calibri" w:hAnsi="Calibri"/>
          <w:b/>
          <w:bCs/>
          <w:color w:val="1B2A4A"/>
          <w:sz w:val="22"/>
          <w:szCs w:val="22"/>
        </w:rPr>
        <w:t xml:space="preserve">10.4  Persistent Storage (Longhorn PVC)</w:t>
      </w:r>
    </w:p>
    <w:p>
      <w:pPr>
        <w:shd w:fill="F4F6F7" w:val="clear"/>
        <w:spacing w:before="20" w:after="20"/>
        <w:ind w:left="360"/>
      </w:pPr>
      <w:r>
        <w:rPr>
          <w:rFonts w:ascii="Courier New" w:cs="Courier New" w:eastAsia="Courier New" w:hAnsi="Courier New"/>
          <w:color w:val="1B2A4A"/>
          <w:sz w:val="18"/>
          <w:szCs w:val="18"/>
        </w:rPr>
        <w:t xml:space="preserve"># Helm values for Kafka StatefulSet</w:t>
      </w:r>
    </w:p>
    <w:p>
      <w:pPr>
        <w:shd w:fill="F4F6F7" w:val="clear"/>
        <w:spacing w:before="20" w:after="20"/>
        <w:ind w:left="360"/>
      </w:pPr>
      <w:r>
        <w:rPr>
          <w:rFonts w:ascii="Courier New" w:cs="Courier New" w:eastAsia="Courier New" w:hAnsi="Courier New"/>
          <w:color w:val="1B2A4A"/>
          <w:sz w:val="18"/>
          <w:szCs w:val="18"/>
        </w:rPr>
        <w:t xml:space="preserve">persistence:</w:t>
      </w:r>
    </w:p>
    <w:p>
      <w:pPr>
        <w:shd w:fill="F4F6F7" w:val="clear"/>
        <w:spacing w:before="20" w:after="20"/>
        <w:ind w:left="360"/>
      </w:pPr>
      <w:r>
        <w:rPr>
          <w:rFonts w:ascii="Courier New" w:cs="Courier New" w:eastAsia="Courier New" w:hAnsi="Courier New"/>
          <w:color w:val="1B2A4A"/>
          <w:sz w:val="18"/>
          <w:szCs w:val="18"/>
        </w:rPr>
        <w:t xml:space="preserve">  enabled: true</w:t>
      </w:r>
    </w:p>
    <w:p>
      <w:pPr>
        <w:shd w:fill="F4F6F7" w:val="clear"/>
        <w:spacing w:before="20" w:after="20"/>
        <w:ind w:left="360"/>
      </w:pPr>
      <w:r>
        <w:rPr>
          <w:rFonts w:ascii="Courier New" w:cs="Courier New" w:eastAsia="Courier New" w:hAnsi="Courier New"/>
          <w:color w:val="1B2A4A"/>
          <w:sz w:val="18"/>
          <w:szCs w:val="18"/>
        </w:rPr>
        <w:t xml:space="preserve">  storageClass: longhorn</w:t>
      </w:r>
    </w:p>
    <w:p>
      <w:pPr>
        <w:shd w:fill="F4F6F7" w:val="clear"/>
        <w:spacing w:before="20" w:after="20"/>
        <w:ind w:left="360"/>
      </w:pPr>
      <w:r>
        <w:rPr>
          <w:rFonts w:ascii="Courier New" w:cs="Courier New" w:eastAsia="Courier New" w:hAnsi="Courier New"/>
          <w:color w:val="1B2A4A"/>
          <w:sz w:val="18"/>
          <w:szCs w:val="18"/>
        </w:rPr>
        <w:t xml:space="preserve">  size: 200Gi</w:t>
      </w:r>
    </w:p>
    <w:p>
      <w:pPr>
        <w:shd w:fill="F4F6F7" w:val="clear"/>
        <w:spacing w:before="20" w:after="20"/>
        <w:ind w:left="360"/>
      </w:pPr>
      <w:r>
        <w:rPr>
          <w:rFonts w:ascii="Courier New" w:cs="Courier New" w:eastAsia="Courier New" w:hAnsi="Courier New"/>
          <w:color w:val="1B2A4A"/>
          <w:sz w:val="18"/>
          <w:szCs w:val="18"/>
        </w:rPr>
        <w:t xml:space="preserve">  accessMode: ReadWriteOnce</w:t>
      </w:r>
    </w:p>
    <w:p>
      <w:pPr>
        <w:spacing w:before="80" w:after="0"/>
      </w:pPr>
      <w:r>
        <w:t xml:space="preserve"/>
      </w:r>
    </w:p>
    <w:p>
      <w:pPr>
        <w:shd w:fill="1B2A4A"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C0392B" w:sz="8" w:space="1"/>
        </w:pBdr>
        <w:spacing w:before="80" w:after="80"/>
      </w:pPr>
      <w:r>
        <w:t xml:space="preserve"/>
      </w:r>
    </w:p>
    <w:p>
      <w:pPr>
        <w:pStyle w:val="Heading2"/>
        <w:spacing w:before="280" w:after="100"/>
      </w:pPr>
      <w:r>
        <w:rPr>
          <w:rFonts w:ascii="Calibri" w:cs="Calibri" w:eastAsia="Calibri" w:hAnsi="Calibri"/>
          <w:b/>
          <w:bCs/>
          <w:color w:val="C0392B"/>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Primary Keywords</w:t>
            </w:r>
          </w:p>
        </w:tc>
        <w:tc>
          <w:tcPr>
            <w:tcW w:type="dxa" w:w="7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Apache Kafka microservices, Kafka event-driven architecture, Kafka Kubernetes, Ecoskiller event bus, Kafka dead-letter queue, distributed event streaming</w:t>
            </w:r>
          </w:p>
        </w:tc>
      </w:tr>
      <w:tr>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Secondary Keywords</w:t>
            </w:r>
          </w:p>
        </w:tc>
        <w:tc>
          <w:tcPr>
            <w:tcW w:type="dxa" w:w="7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KRaft, Apicurio Schema Registry, Kafka consumer group lag, Kafka topic retention, KafkaJS Node.js, Kafka k3s self-hosted, Kafka Helm chart</w:t>
            </w:r>
          </w:p>
        </w:tc>
      </w:tr>
      <w:tr>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Target Audience</w:t>
            </w:r>
          </w:p>
        </w:tc>
        <w:tc>
          <w:tcPr>
            <w:tcW w:type="dxa" w:w="7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Backend engineers, platform architects, SRE/DevOps engineers, Node.js developers working on event-driven microservices</w:t>
            </w:r>
          </w:p>
        </w:tc>
      </w:tr>
      <w:tr>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Document Type</w:t>
            </w:r>
          </w:p>
        </w:tc>
        <w:tc>
          <w:tcPr>
            <w:tcW w:type="dxa" w:w="7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bCs/>
                <w:color w:val="1B2A4A"/>
                <w:sz w:val="20"/>
                <w:szCs w:val="20"/>
              </w:rPr>
              <w:t xml:space="preserve">Platform Context</w:t>
            </w:r>
          </w:p>
        </w:tc>
        <w:tc>
          <w:tcPr>
            <w:tcW w:type="dxa" w:w="7680"/>
            <w:tcBorders>
              <w:top w:val="single" w:color="F1948A" w:sz="1"/>
              <w:left w:val="single" w:color="F1948A" w:sz="1"/>
              <w:bottom w:val="single" w:color="F1948A" w:sz="1"/>
              <w:right w:val="single" w:color="F1948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Platform, Kubernetes GCP + AWS, Event-Driven Microservices</w:t>
            </w:r>
          </w:p>
        </w:tc>
      </w:tr>
      <w:tr>
        <w:tc>
          <w:tcPr>
            <w:tcW w:type="dxa" w:w="240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bCs/>
                <w:color w:val="1B2A4A"/>
                <w:sz w:val="20"/>
                <w:szCs w:val="20"/>
              </w:rPr>
              <w:t xml:space="preserve">Related Services</w:t>
            </w:r>
          </w:p>
        </w:tc>
        <w:tc>
          <w:tcPr>
            <w:tcW w:type="dxa" w:w="7680"/>
            <w:tcBorders>
              <w:top w:val="single" w:color="F1948A" w:sz="1"/>
              <w:left w:val="single" w:color="F1948A" w:sz="1"/>
              <w:bottom w:val="single" w:color="F1948A" w:sz="1"/>
              <w:right w:val="single" w:color="F1948A" w:sz="1"/>
            </w:tcBorders>
            <w:shd w:fill="FEF9F9"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Apicurio Registry, scoring-engine, gd-orchestrator, notification-service, analytics-service, ClickHouse, PostgreSQL, Longhorn, Prometheus, Grafana Tempo</w:t>
            </w:r>
          </w:p>
        </w:tc>
      </w:tr>
    </w:tbl>
    <w:p>
      <w:pPr>
        <w:spacing w:before="80" w:after="0"/>
      </w:pPr>
      <w:r>
        <w:t xml:space="preserve"/>
      </w:r>
    </w:p>
    <w:p>
      <w:r>
        <w:br w:type="page"/>
      </w:r>
    </w:p>
    <w:p>
      <w:pPr>
        <w:spacing w:before="600" w:after="0"/>
      </w:pPr>
      <w:r>
        <w:t xml:space="preserve"/>
      </w:r>
    </w:p>
    <w:p>
      <w:pPr>
        <w:shd w:fill="1B2A4A" w:val="clear"/>
        <w:spacing w:before="40" w:after="40"/>
        <w:jc w:val="center"/>
      </w:pPr>
      <w:r>
        <w:rPr>
          <w:rFonts w:ascii="Calibri" w:cs="Calibri" w:eastAsia="Calibri" w:hAnsi="Calibri"/>
          <w:b/>
          <w:bCs/>
          <w:color w:val="FFFFFF"/>
          <w:sz w:val="28"/>
          <w:szCs w:val="28"/>
        </w:rPr>
        <w:t xml:space="preserve">  ECOSKILLER PLATFORM  </w:t>
      </w:r>
    </w:p>
    <w:p>
      <w:pPr>
        <w:shd w:fill="C0392B" w:val="clear"/>
        <w:spacing w:before="0" w:after="0"/>
        <w:jc w:val="center"/>
      </w:pPr>
      <w:r>
        <w:rPr>
          <w:rFonts w:ascii="Calibri" w:cs="Calibri" w:eastAsia="Calibri" w:hAnsi="Calibri"/>
          <w:color w:val="FFFFFF"/>
          <w:sz w:val="22"/>
          <w:szCs w:val="22"/>
        </w:rPr>
        <w:t xml:space="preserve">  Backend Infrastructure — Apache Kafka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Apache Kafka 3.7.0  |  k3s Self-Managed  |  Apicurio Schema Registry</w:t>
      </w:r>
    </w:p>
    <w:p>
      <w:pPr>
        <w:spacing w:before="30" w:after="0"/>
      </w:pPr>
      <w:r>
        <w:t xml:space="preserve"/>
      </w:r>
    </w:p>
    <w:p>
      <w:pPr>
        <w:pBdr>
          <w:bottom w:val="single" w:color="C0392B"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2"/>
      </w:pBdr>
      <w:tabs>
        <w:tab w:val="right" w:pos="9026"/>
      </w:tabs>
      <w:spacing w:before="80" w:after="0"/>
    </w:pPr>
    <w:r>
      <w:rPr>
        <w:rFonts w:ascii="Calibri" w:cs="Calibri" w:eastAsia="Calibri" w:hAnsi="Calibri"/>
        <w:color w:val="566573"/>
        <w:sz w:val="16"/>
        <w:szCs w:val="16"/>
      </w:rPr>
      <w:t xml:space="preserve">Ecoskiller — Apache Kafka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2"/>
      </w:pBdr>
      <w:spacing w:before="0" w:after="80"/>
    </w:pPr>
    <w:r>
      <w:rPr>
        <w:rFonts w:ascii="Calibri" w:cs="Calibri" w:eastAsia="Calibri" w:hAnsi="Calibri"/>
        <w:color w:val="566573"/>
        <w:sz w:val="16"/>
        <w:szCs w:val="16"/>
      </w:rPr>
      <w:t xml:space="preserve">ECOSKILLER PLATFORM  |  SERVICE SPECIFICATION  |  APACHE KAFKA 3.7.0</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C0392B"/>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2026-03-10T04:57:39.613Z</dcterms:created>
  <dcterms:modified xsi:type="dcterms:W3CDTF">2026-03-10T04:57:39.614Z</dcterms:modified>
</cp:coreProperties>
</file>

<file path=docProps/custom.xml><?xml version="1.0" encoding="utf-8"?>
<Properties xmlns="http://schemas.openxmlformats.org/officeDocument/2006/custom-properties" xmlns:vt="http://schemas.openxmlformats.org/officeDocument/2006/docPropsVTypes"/>
</file>