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4C1D95"/>
          <w:sz w:val="36"/>
          <w:szCs w:val="36"/>
        </w:rPr>
        <w:t xml:space="preserve">ECOSKILLER PLATFORM</w:t>
      </w:r>
    </w:p>
    <w:p>
      <w:pPr>
        <w:spacing w:before="0" w:after="120"/>
        <w:jc w:val="center"/>
      </w:pPr>
      <w:r>
        <w:rPr>
          <w:rFonts w:ascii="Arial" w:cs="Arial" w:eastAsia="Arial" w:hAnsi="Arial"/>
          <w:i/>
          <w:iCs/>
          <w:color w:val="475569"/>
          <w:sz w:val="26"/>
          <w:szCs w:val="26"/>
        </w:rPr>
        <w:t xml:space="preserve">Backend Microservice Technical Reference</w:t>
      </w:r>
    </w:p>
    <w:p>
      <w:pPr>
        <w:pBdr>
          <w:bottom w:val="single" w:color="4C1D95" w:sz="6" w:space="6"/>
        </w:pBdr>
        <w:spacing w:before="40" w:after="40"/>
        <w:jc w:val="center"/>
      </w:pPr>
    </w:p>
    <w:p>
      <w:pPr>
        <w:spacing w:before="320" w:after="120"/>
        <w:jc w:val="center"/>
      </w:pPr>
    </w:p>
    <w:p>
      <w:pPr>
        <w:spacing w:before="60" w:after="60"/>
        <w:jc w:val="center"/>
      </w:pPr>
      <w:r>
        <w:rPr>
          <w:rFonts w:ascii="Courier New" w:cs="Courier New" w:eastAsia="Courier New" w:hAnsi="Courier New"/>
          <w:b/>
          <w:bCs/>
          <w:color w:val="0D7A5F"/>
          <w:sz w:val="40"/>
          <w:szCs w:val="40"/>
        </w:rPr>
        <w:t xml:space="preserve">licensing-contract-service</w:t>
      </w:r>
    </w:p>
    <w:p>
      <w:pPr>
        <w:spacing w:before="120" w:after="600"/>
        <w:jc w:val="center"/>
      </w:pPr>
      <w:r>
        <w:rPr>
          <w:rFonts w:ascii="Arial" w:cs="Arial" w:eastAsia="Arial" w:hAnsi="Arial"/>
          <w:color w:val="475569"/>
          <w:sz w:val="24"/>
          <w:szCs w:val="24"/>
        </w:rPr>
        <w:t xml:space="preserve">Service Architecture &amp; Developer Documentation</w:t>
      </w:r>
    </w:p>
    <w:p>
      <w:pPr>
        <w:spacing w:before="40" w:after="40"/>
        <w:jc w:val="center"/>
      </w:pPr>
      <w:r>
        <w:rPr>
          <w:rFonts w:ascii="Arial" w:cs="Arial" w:eastAsia="Arial" w:hAnsi="Arial"/>
          <w:color w:val="475569"/>
          <w:sz w:val="20"/>
          <w:szCs w:val="20"/>
        </w:rPr>
        <w:t xml:space="preserve">Version 1.0  ·  Ecoskiller Infrastructure v15  ·  Module XIII — Royalty &amp; Licensing  ·  March 2026</w:t>
      </w:r>
    </w:p>
    <w:p>
      <w:r>
        <w:br w:type="page"/>
      </w:r>
    </w:p>
    <w:p>
      <w:pPr>
        <w:pStyle w:val="Heading1"/>
        <w:pBdr>
          <w:bottom w:val="single" w:color="4C1D95" w:sz="4" w:space="4"/>
        </w:pBdr>
        <w:spacing w:before="360" w:after="160"/>
      </w:pPr>
      <w:r>
        <w:rPr>
          <w:rFonts w:ascii="Arial" w:cs="Arial" w:eastAsia="Arial" w:hAnsi="Arial"/>
          <w:b/>
          <w:bCs/>
          <w:color w:val="4C1D95"/>
          <w:sz w:val="30"/>
          <w:szCs w:val="30"/>
        </w:rPr>
        <w:t xml:space="preserve">1. Service Name &amp; Identity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Service Name</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licensing-contract-service</w:t>
            </w:r>
          </w:p>
        </w:tc>
      </w:tr>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Module</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XIII — Royalty &amp; Licensing (one of 6 services in this module)</w:t>
            </w:r>
          </w:p>
        </w:tc>
      </w:tr>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Service Type</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Backend Microservice — Node.js (JavaScript)</w:t>
            </w:r>
          </w:p>
        </w:tc>
      </w:tr>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Namespace</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billing (k3s Kubernetes, GCP + AWS multi-cloud)</w:t>
            </w:r>
          </w:p>
        </w:tc>
      </w:tr>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Container Image</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ecoskiller/licensing-contract-service:prod-latest</w:t>
            </w:r>
          </w:p>
        </w:tc>
      </w:tr>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Registry</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harbor.ecoskiller.internal</w:t>
            </w:r>
          </w:p>
        </w:tc>
      </w:tr>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Deployment Target</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GCP asia-south1 + AWS ap-south-1 (Active-Active)</w:t>
            </w:r>
          </w:p>
        </w:tc>
      </w:tr>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Platform Context</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Ecoskiller — AI-Powered Talent Assessment &amp; Hiring (B2B SaaS)</w:t>
            </w:r>
          </w:p>
        </w:tc>
      </w:tr>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Priority / Phase</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Phase LOW — follows core assessment pipeline services</w:t>
            </w:r>
          </w:p>
        </w:tc>
      </w:tr>
      <w:tr>
        <w:tc>
          <w:tcPr>
            <w:tcW w:type="dxa" w:w="3000"/>
            <w:tcBorders>
              <w:top w:val="single" w:color="C4B5FD" w:sz="1"/>
              <w:left w:val="single" w:color="C4B5FD" w:sz="1"/>
              <w:bottom w:val="single" w:color="C4B5FD" w:sz="1"/>
              <w:right w:val="single" w:color="C4B5FD" w:sz="1"/>
            </w:tcBorders>
            <w:shd w:fill="EDE9FE" w:val="clear"/>
            <w:tcMar>
              <w:top w:type="dxa" w:w="100"/>
              <w:left w:type="dxa" w:w="160"/>
              <w:bottom w:type="dxa" w:w="100"/>
              <w:right w:type="dxa" w:w="120"/>
            </w:tcMar>
          </w:tcPr>
          <w:p>
            <w:r>
              <w:rPr>
                <w:rFonts w:ascii="Arial" w:cs="Arial" w:eastAsia="Arial" w:hAnsi="Arial"/>
                <w:b/>
                <w:bCs/>
                <w:color w:val="4C1D95"/>
                <w:sz w:val="20"/>
                <w:szCs w:val="20"/>
              </w:rPr>
              <w:t xml:space="preserve">Status</w:t>
            </w:r>
          </w:p>
        </w:tc>
        <w:tc>
          <w:tcPr>
            <w:tcW w:type="dxa" w:w="63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Designed — Deployment Pending (Infrastructure v15)</w:t>
            </w:r>
          </w:p>
        </w:tc>
      </w:tr>
    </w:tbl>
    <w:p>
      <w:pPr>
        <w:spacing w:before="40" w:after="40"/>
      </w:pPr>
    </w:p>
    <w:p>
      <w:pPr>
        <w:spacing w:before="80" w:after="100"/>
      </w:pPr>
      <w:r>
        <w:rPr>
          <w:rFonts w:ascii="Arial" w:cs="Arial" w:eastAsia="Arial" w:hAnsi="Arial"/>
          <w:color w:val="1E293B"/>
          <w:sz w:val="22"/>
          <w:szCs w:val="22"/>
        </w:rPr>
        <w:t xml:space="preserve">The licensing-contract-service is the legally authoritative microservice within Ecoskiller's Module XIII (Royalty &amp; Licensing) responsible for creating, storing, versioning, and governing legally binding intellectual property (IP) licensing agreements between idea-submitting candidates and businesses that wish to license those ideas. It is the contract lifecycle authority for the entire Ecoskiller innovation monetisation pipeline, bridging the Innovation Engine (Module XII) with the downstream Royalty Accounting Engine and Royalty Wallet Service.</w:t>
      </w:r>
    </w:p>
    <w:p>
      <w:pPr>
        <w:pStyle w:val="Heading1"/>
        <w:pBdr>
          <w:bottom w:val="single" w:color="4C1D95" w:sz="4" w:space="4"/>
        </w:pBdr>
        <w:spacing w:before="360" w:after="160"/>
      </w:pPr>
      <w:r>
        <w:rPr>
          <w:rFonts w:ascii="Arial" w:cs="Arial" w:eastAsia="Arial" w:hAnsi="Arial"/>
          <w:b/>
          <w:bCs/>
          <w:color w:val="4C1D95"/>
          <w:sz w:val="30"/>
          <w:szCs w:val="30"/>
        </w:rPr>
        <w:t xml:space="preserve">2. Service Overview</w:t>
      </w:r>
    </w:p>
    <w:p>
      <w:pPr>
        <w:spacing w:before="80" w:after="100"/>
      </w:pPr>
      <w:r>
        <w:rPr>
          <w:rFonts w:ascii="Arial" w:cs="Arial" w:eastAsia="Arial" w:hAnsi="Arial"/>
          <w:color w:val="1E293B"/>
          <w:sz w:val="22"/>
          <w:szCs w:val="22"/>
        </w:rPr>
        <w:t xml:space="preserve">The Ecoskiller platform enables candidates to submit, protect, and monetise original ideas through Module XII (Innovation Engine). When a business entity expressed interest in licensing a candidate's idea through the Idea Marketplace Service, a formal, legally binding agreement must be generated, reviewed, digitally signed, archived, and tracked — with ongoing compliance checks to ensure royalty obligations are being met. This end-to-end contract lifecycle is owned exclusively by the licensing-contract-service.</w:t>
      </w:r>
    </w:p>
    <w:p>
      <w:pPr>
        <w:spacing w:before="40" w:after="40"/>
      </w:pPr>
    </w:p>
    <w:p>
      <w:pPr>
        <w:spacing w:before="80" w:after="100"/>
      </w:pPr>
      <w:r>
        <w:rPr>
          <w:rFonts w:ascii="Arial" w:cs="Arial" w:eastAsia="Arial" w:hAnsi="Arial"/>
          <w:color w:val="1E293B"/>
          <w:sz w:val="22"/>
          <w:szCs w:val="22"/>
        </w:rPr>
        <w:t xml:space="preserve">The service operates as a stateful, event-driven Node.js microservice in the billing Kubernetes namespace. It consumes Kafka events from the Idea Marketplace Service and Project Execution Orchestrator when a business initiates licensing intent, generates contract records with standardised royalty rate terms (0.01–0.05% revenue share, 10–15 year term options as defined in Ecoskiller's default rubric), coordinates with the Legal Document Generation Service to produce a structured PDF contract, routes the document to the Digital Signature Service for legally valid execution, and publishes licensing.contract.signed events downstream.</w:t>
      </w:r>
    </w:p>
    <w:p>
      <w:pPr>
        <w:spacing w:before="40" w:after="40"/>
      </w:pPr>
    </w:p>
    <w:p>
      <w:pPr>
        <w:spacing w:before="80" w:after="100"/>
      </w:pPr>
      <w:r>
        <w:rPr>
          <w:rFonts w:ascii="Arial" w:cs="Arial" w:eastAsia="Arial" w:hAnsi="Arial"/>
          <w:color w:val="1E293B"/>
          <w:sz w:val="22"/>
          <w:szCs w:val="22"/>
        </w:rPr>
        <w:t xml:space="preserve">It is the only service in the Ecoskiller platform with authority to create and modify licensing agreement records in the PostgreSQL royalty schema. The Royalty Accounting Engine, Royalty Wallet Service, and Royalty Audit &amp; Compliance Service all treat contract records owned by this service as the source of truth for royalty calculation terms, payout eligibility, and audit entitlement.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EDE9FE" w:val="clear"/>
            <w:tcMar>
              <w:top w:type="dxa" w:w="140"/>
              <w:left w:type="dxa" w:w="220"/>
              <w:bottom w:type="dxa" w:w="140"/>
              <w:right w:type="dxa" w:w="220"/>
            </w:tcMar>
          </w:tcPr>
          <w:p>
            <w:pPr>
              <w:spacing w:before="0" w:after="60"/>
            </w:pPr>
            <w:r>
              <w:rPr>
                <w:rFonts w:ascii="Arial" w:cs="Arial" w:eastAsia="Arial" w:hAnsi="Arial"/>
                <w:b/>
                <w:bCs/>
                <w:color w:val="4C1D95"/>
                <w:sz w:val="22"/>
                <w:szCs w:val="22"/>
              </w:rPr>
              <w:t xml:space="preserve">Architectural Boundary Rule</w:t>
            </w:r>
          </w:p>
          <w:p>
            <w:r>
              <w:rPr>
                <w:rFonts w:ascii="Arial" w:cs="Arial" w:eastAsia="Arial" w:hAnsi="Arial"/>
                <w:color w:val="1E293B"/>
                <w:sz w:val="20"/>
                <w:szCs w:val="20"/>
              </w:rPr>
              <w:t xml:space="preserve">licensing-contract-service owns contract LIFECYCLE only — creation, versioning, signing state, amendment, termination. It does NOT calculate royalties (Royalty Accounting Engine), manage payouts (Royalty Wallet Service), detect revenue fraud (Revenue Ingestion Gateway + Fraud Detection Engine), or enforce audit rights (Royalty Audit &amp; Compliance Service). All downstream royalty operations depend on a signed contract record from this service as a prerequisite.</w:t>
            </w:r>
          </w:p>
        </w:tc>
      </w:tr>
    </w:tbl>
    <w:p>
      <w:pPr>
        <w:pStyle w:val="Heading1"/>
        <w:pBdr>
          <w:bottom w:val="single" w:color="4C1D95" w:sz="4" w:space="4"/>
        </w:pBdr>
        <w:spacing w:before="360" w:after="160"/>
      </w:pPr>
      <w:r>
        <w:rPr>
          <w:rFonts w:ascii="Arial" w:cs="Arial" w:eastAsia="Arial" w:hAnsi="Arial"/>
          <w:b/>
          <w:bCs/>
          <w:color w:val="4C1D95"/>
          <w:sz w:val="30"/>
          <w:szCs w:val="30"/>
        </w:rPr>
        <w:t xml:space="preserve">3. Core Responsibilities</w:t>
      </w:r>
    </w:p>
    <w:p>
      <w:pPr>
        <w:spacing w:before="80" w:after="100"/>
      </w:pPr>
      <w:r>
        <w:rPr>
          <w:rFonts w:ascii="Arial" w:cs="Arial" w:eastAsia="Arial" w:hAnsi="Arial"/>
          <w:color w:val="1E293B"/>
          <w:sz w:val="22"/>
          <w:szCs w:val="22"/>
        </w:rPr>
        <w:t xml:space="preserve">The licensing-contract-service owns the following primary responsibilities within the Ecoskiller Module XIII pipeline:</w:t>
      </w:r>
    </w:p>
    <w:p>
      <w:pPr>
        <w:spacing w:before="40" w:after="40"/>
      </w:pPr>
    </w:p>
    <w:p>
      <w:pPr>
        <w:pStyle w:val="Heading2"/>
        <w:spacing w:before="280" w:after="100"/>
      </w:pPr>
      <w:r>
        <w:rPr>
          <w:rFonts w:ascii="Arial" w:cs="Arial" w:eastAsia="Arial" w:hAnsi="Arial"/>
          <w:b/>
          <w:bCs/>
          <w:color w:val="0D7A5F"/>
          <w:sz w:val="24"/>
          <w:szCs w:val="24"/>
        </w:rPr>
        <w:t xml:space="preserve">3.1 Licensing Agreement Lifecycle Management</w:t>
      </w:r>
    </w:p>
    <w:p>
      <w:pPr>
        <w:pStyle w:val="ListParagraph"/>
        <w:numPr>
          <w:ilvl w:val="0"/>
          <w:numId w:val="2"/>
        </w:numPr>
        <w:spacing w:before="60" w:after="60"/>
      </w:pPr>
      <w:r>
        <w:rPr>
          <w:rFonts w:ascii="Arial" w:cs="Arial" w:eastAsia="Arial" w:hAnsi="Arial"/>
          <w:b/>
          <w:bCs/>
          <w:color w:val="4C1D95"/>
          <w:sz w:val="22"/>
          <w:szCs w:val="22"/>
        </w:rPr>
        <w:t xml:space="preserve">Contract Initialisation: </w:t>
      </w:r>
      <w:r>
        <w:rPr>
          <w:rFonts w:ascii="Arial" w:cs="Arial" w:eastAsia="Arial" w:hAnsi="Arial"/>
          <w:color w:val="1E293B"/>
          <w:sz w:val="22"/>
          <w:szCs w:val="22"/>
        </w:rPr>
        <w:t xml:space="preserve">Creates a new licensing agreement record in PostgreSQL (royalty.contracts table) when a business entity triggers a licensing request for a specific idea_id. Stores: idea_id, idea_owner_candidate_id, licensee_business_id, tenant_id, proposed_royalty_rate, proposed_term_years, contract_status (DRAFT), created_at, initiated_by.</w:t>
      </w:r>
    </w:p>
    <w:p>
      <w:pPr>
        <w:pStyle w:val="ListParagraph"/>
        <w:numPr>
          <w:ilvl w:val="0"/>
          <w:numId w:val="2"/>
        </w:numPr>
        <w:spacing w:before="60" w:after="60"/>
      </w:pPr>
      <w:r>
        <w:rPr>
          <w:rFonts w:ascii="Arial" w:cs="Arial" w:eastAsia="Arial" w:hAnsi="Arial"/>
          <w:b/>
          <w:bCs/>
          <w:color w:val="4C1D95"/>
          <w:sz w:val="22"/>
          <w:szCs w:val="22"/>
        </w:rPr>
        <w:t xml:space="preserve">Contract Versioning: </w:t>
      </w:r>
      <w:r>
        <w:rPr>
          <w:rFonts w:ascii="Arial" w:cs="Arial" w:eastAsia="Arial" w:hAnsi="Arial"/>
          <w:color w:val="1E293B"/>
          <w:sz w:val="22"/>
          <w:szCs w:val="22"/>
        </w:rPr>
        <w:t xml:space="preserve">Maintains a full version history of every contract (royalty.contract_versions) for audit and dispute resolution. Every amendment — royalty rate renegotiation, term extension, territorial scope change — creates a new version record with the previous version immutably preserved.</w:t>
      </w:r>
    </w:p>
    <w:p>
      <w:pPr>
        <w:pStyle w:val="ListParagraph"/>
        <w:numPr>
          <w:ilvl w:val="0"/>
          <w:numId w:val="2"/>
        </w:numPr>
        <w:spacing w:before="60" w:after="60"/>
      </w:pPr>
      <w:r>
        <w:rPr>
          <w:rFonts w:ascii="Arial" w:cs="Arial" w:eastAsia="Arial" w:hAnsi="Arial"/>
          <w:b/>
          <w:bCs/>
          <w:color w:val="4C1D95"/>
          <w:sz w:val="22"/>
          <w:szCs w:val="22"/>
        </w:rPr>
        <w:t xml:space="preserve">State Machine Enforcement: </w:t>
      </w:r>
      <w:r>
        <w:rPr>
          <w:rFonts w:ascii="Arial" w:cs="Arial" w:eastAsia="Arial" w:hAnsi="Arial"/>
          <w:color w:val="1E293B"/>
          <w:sz w:val="22"/>
          <w:szCs w:val="22"/>
        </w:rPr>
        <w:t xml:space="preserve">Owns the authoritative contract lifecycle state machine: DRAFT → PENDING_REVIEW → PENDING_SIGNATURE → ACTIVE → SUSPENDED → TERMINATED. State transitions are validated and atomic; no downstream service can transition a contract state directly.</w:t>
      </w:r>
    </w:p>
    <w:p>
      <w:pPr>
        <w:pStyle w:val="ListParagraph"/>
        <w:numPr>
          <w:ilvl w:val="0"/>
          <w:numId w:val="2"/>
        </w:numPr>
        <w:spacing w:before="60" w:after="60"/>
      </w:pPr>
      <w:r>
        <w:rPr>
          <w:rFonts w:ascii="Arial" w:cs="Arial" w:eastAsia="Arial" w:hAnsi="Arial"/>
          <w:b/>
          <w:bCs/>
          <w:color w:val="4C1D95"/>
          <w:sz w:val="22"/>
          <w:szCs w:val="22"/>
        </w:rPr>
        <w:t xml:space="preserve">Amendment Handling: </w:t>
      </w:r>
      <w:r>
        <w:rPr>
          <w:rFonts w:ascii="Arial" w:cs="Arial" w:eastAsia="Arial" w:hAnsi="Arial"/>
          <w:color w:val="1E293B"/>
          <w:sz w:val="22"/>
          <w:szCs w:val="22"/>
        </w:rPr>
        <w:t xml:space="preserve">Accepts amendment requests from authorised business or candidate users (via REST API, Keycloak-gated). Validates amendment against existing contract terms, creates a new version, triggers re-signing flow via Digital Signature Service, and emits licensing.contract.amended Kafka event.</w:t>
      </w:r>
    </w:p>
    <w:p>
      <w:pPr>
        <w:pStyle w:val="ListParagraph"/>
        <w:numPr>
          <w:ilvl w:val="0"/>
          <w:numId w:val="2"/>
        </w:numPr>
        <w:spacing w:before="60" w:after="60"/>
      </w:pPr>
      <w:r>
        <w:rPr>
          <w:rFonts w:ascii="Arial" w:cs="Arial" w:eastAsia="Arial" w:hAnsi="Arial"/>
          <w:b/>
          <w:bCs/>
          <w:color w:val="4C1D95"/>
          <w:sz w:val="22"/>
          <w:szCs w:val="22"/>
        </w:rPr>
        <w:t xml:space="preserve">Contract Termination: </w:t>
      </w:r>
      <w:r>
        <w:rPr>
          <w:rFonts w:ascii="Arial" w:cs="Arial" w:eastAsia="Arial" w:hAnsi="Arial"/>
          <w:color w:val="1E293B"/>
          <w:sz w:val="22"/>
          <w:szCs w:val="22"/>
        </w:rPr>
        <w:t xml:space="preserve">Processes early termination requests from either party. Validates termination eligibility against minimum royalty clause data sourced from Royalty Audit &amp; Compliance Service. Emits licensing.contract.terminated event consumed by Royalty Wallet Service to cease payout processing.</w:t>
      </w:r>
    </w:p>
    <w:p>
      <w:pPr>
        <w:spacing w:before="40" w:after="40"/>
      </w:pPr>
    </w:p>
    <w:p>
      <w:pPr>
        <w:pStyle w:val="Heading2"/>
        <w:spacing w:before="280" w:after="100"/>
      </w:pPr>
      <w:r>
        <w:rPr>
          <w:rFonts w:ascii="Arial" w:cs="Arial" w:eastAsia="Arial" w:hAnsi="Arial"/>
          <w:b/>
          <w:bCs/>
          <w:color w:val="0D7A5F"/>
          <w:sz w:val="24"/>
          <w:szCs w:val="24"/>
        </w:rPr>
        <w:t xml:space="preserve">3.2 Royalty Rate &amp; Term Configuration</w:t>
      </w:r>
    </w:p>
    <w:p>
      <w:pPr>
        <w:pStyle w:val="ListParagraph"/>
        <w:numPr>
          <w:ilvl w:val="0"/>
          <w:numId w:val="2"/>
        </w:numPr>
        <w:spacing w:before="60" w:after="60"/>
      </w:pPr>
      <w:r>
        <w:rPr>
          <w:rFonts w:ascii="Arial" w:cs="Arial" w:eastAsia="Arial" w:hAnsi="Arial"/>
          <w:b/>
          <w:bCs/>
          <w:color w:val="4C1D95"/>
          <w:sz w:val="22"/>
          <w:szCs w:val="22"/>
        </w:rPr>
        <w:t xml:space="preserve">Standard Rate Binding: </w:t>
      </w:r>
      <w:r>
        <w:rPr>
          <w:rFonts w:ascii="Arial" w:cs="Arial" w:eastAsia="Arial" w:hAnsi="Arial"/>
          <w:color w:val="1E293B"/>
          <w:sz w:val="22"/>
          <w:szCs w:val="22"/>
        </w:rPr>
        <w:t xml:space="preserve">Stores and enforces the Ecoskiller default royalty rate range (0.01–0.05% of licensee's relevant revenue). Rate is negotiated at contract creation and locked for the contract term. Rates outside the platform's permissible range are rejected at API validation layer.</w:t>
      </w:r>
    </w:p>
    <w:p>
      <w:pPr>
        <w:pStyle w:val="ListParagraph"/>
        <w:numPr>
          <w:ilvl w:val="0"/>
          <w:numId w:val="2"/>
        </w:numPr>
        <w:spacing w:before="60" w:after="60"/>
      </w:pPr>
      <w:r>
        <w:rPr>
          <w:rFonts w:ascii="Arial" w:cs="Arial" w:eastAsia="Arial" w:hAnsi="Arial"/>
          <w:b/>
          <w:bCs/>
          <w:color w:val="4C1D95"/>
          <w:sz w:val="22"/>
          <w:szCs w:val="22"/>
        </w:rPr>
        <w:t xml:space="preserve">Term Configuration: </w:t>
      </w:r>
      <w:r>
        <w:rPr>
          <w:rFonts w:ascii="Arial" w:cs="Arial" w:eastAsia="Arial" w:hAnsi="Arial"/>
          <w:color w:val="1E293B"/>
          <w:sz w:val="22"/>
          <w:szCs w:val="22"/>
        </w:rPr>
        <w:t xml:space="preserve">Supports 10–15 year licensing terms as per Ecoskiller Module XIII standards. Calculates and stores contract_start_date, contract_end_date, minimum_royalty_period, and renewal_eligible_from in the contract record.</w:t>
      </w:r>
    </w:p>
    <w:p>
      <w:pPr>
        <w:pStyle w:val="ListParagraph"/>
        <w:numPr>
          <w:ilvl w:val="0"/>
          <w:numId w:val="2"/>
        </w:numPr>
        <w:spacing w:before="60" w:after="60"/>
      </w:pPr>
      <w:r>
        <w:rPr>
          <w:rFonts w:ascii="Arial" w:cs="Arial" w:eastAsia="Arial" w:hAnsi="Arial"/>
          <w:b/>
          <w:bCs/>
          <w:color w:val="4C1D95"/>
          <w:sz w:val="22"/>
          <w:szCs w:val="22"/>
        </w:rPr>
        <w:t xml:space="preserve">Territorial Scope: </w:t>
      </w:r>
      <w:r>
        <w:rPr>
          <w:rFonts w:ascii="Arial" w:cs="Arial" w:eastAsia="Arial" w:hAnsi="Arial"/>
          <w:color w:val="1E293B"/>
          <w:sz w:val="22"/>
          <w:szCs w:val="22"/>
        </w:rPr>
        <w:t xml:space="preserve">Stores territorial licensing scope (national / regional / global) and usage scope (exclusive / non-exclusive) fields. Territorial changes require a contract amendment with full re-signing.</w:t>
      </w:r>
    </w:p>
    <w:p>
      <w:pPr>
        <w:pStyle w:val="ListParagraph"/>
        <w:numPr>
          <w:ilvl w:val="0"/>
          <w:numId w:val="2"/>
        </w:numPr>
        <w:spacing w:before="60" w:after="60"/>
      </w:pPr>
      <w:r>
        <w:rPr>
          <w:rFonts w:ascii="Arial" w:cs="Arial" w:eastAsia="Arial" w:hAnsi="Arial"/>
          <w:b/>
          <w:bCs/>
          <w:color w:val="4C1D95"/>
          <w:sz w:val="22"/>
          <w:szCs w:val="22"/>
        </w:rPr>
        <w:t xml:space="preserve">Minor Candidate Safeguards: </w:t>
      </w:r>
      <w:r>
        <w:rPr>
          <w:rFonts w:ascii="Arial" w:cs="Arial" w:eastAsia="Arial" w:hAnsi="Arial"/>
          <w:color w:val="1E293B"/>
          <w:sz w:val="22"/>
          <w:szCs w:val="22"/>
        </w:rPr>
        <w:t xml:space="preserve">For idea-owning candidates identified as minors (via Keycloak role and user-service age flag), contract creation requires a parent/guardian approval token from the Innovation Trust Governance Service before the contract can advance from DRAFT to PENDING_REVIEW. Guardianship ownership transfer at age 18 is tracked with a scheduled Airflow trigger.</w:t>
      </w:r>
    </w:p>
    <w:p>
      <w:pPr>
        <w:spacing w:before="40" w:after="40"/>
      </w:pPr>
    </w:p>
    <w:p>
      <w:pPr>
        <w:pStyle w:val="Heading2"/>
        <w:spacing w:before="280" w:after="100"/>
      </w:pPr>
      <w:r>
        <w:rPr>
          <w:rFonts w:ascii="Arial" w:cs="Arial" w:eastAsia="Arial" w:hAnsi="Arial"/>
          <w:b/>
          <w:bCs/>
          <w:color w:val="0D7A5F"/>
          <w:sz w:val="24"/>
          <w:szCs w:val="24"/>
        </w:rPr>
        <w:t xml:space="preserve">3.3 Legal Document Generation Coordination</w:t>
      </w:r>
    </w:p>
    <w:p>
      <w:pPr>
        <w:pStyle w:val="ListParagraph"/>
        <w:numPr>
          <w:ilvl w:val="0"/>
          <w:numId w:val="2"/>
        </w:numPr>
        <w:spacing w:before="60" w:after="60"/>
      </w:pPr>
      <w:r>
        <w:rPr>
          <w:rFonts w:ascii="Arial" w:cs="Arial" w:eastAsia="Arial" w:hAnsi="Arial"/>
          <w:b/>
          <w:bCs/>
          <w:color w:val="4C1D95"/>
          <w:sz w:val="22"/>
          <w:szCs w:val="22"/>
        </w:rPr>
        <w:t xml:space="preserve">Document Request: </w:t>
      </w:r>
      <w:r>
        <w:rPr>
          <w:rFonts w:ascii="Arial" w:cs="Arial" w:eastAsia="Arial" w:hAnsi="Arial"/>
          <w:color w:val="1E293B"/>
          <w:sz w:val="22"/>
          <w:szCs w:val="22"/>
        </w:rPr>
        <w:t xml:space="preserve">On contract record creation (DRAFT state), publishes a document.generation.requested Kafka event with contract metadata to the Legal Document Generation Service (Module Section 22). The Legal Doc Service uses a template engine to produce a structured, GST-compliant PDF contract.</w:t>
      </w:r>
    </w:p>
    <w:p>
      <w:pPr>
        <w:pStyle w:val="ListParagraph"/>
        <w:numPr>
          <w:ilvl w:val="0"/>
          <w:numId w:val="2"/>
        </w:numPr>
        <w:spacing w:before="60" w:after="60"/>
      </w:pPr>
      <w:r>
        <w:rPr>
          <w:rFonts w:ascii="Arial" w:cs="Arial" w:eastAsia="Arial" w:hAnsi="Arial"/>
          <w:b/>
          <w:bCs/>
          <w:color w:val="4C1D95"/>
          <w:sz w:val="22"/>
          <w:szCs w:val="22"/>
        </w:rPr>
        <w:t xml:space="preserve">Document Receipt &amp; Storage: </w:t>
      </w:r>
      <w:r>
        <w:rPr>
          <w:rFonts w:ascii="Arial" w:cs="Arial" w:eastAsia="Arial" w:hAnsi="Arial"/>
          <w:color w:val="1E293B"/>
          <w:sz w:val="22"/>
          <w:szCs w:val="22"/>
        </w:rPr>
        <w:t xml:space="preserve">Receives document.generated event from Legal Doc Service containing the MinIO pre-signed URL of the generated contract PDF. Stores document_url, document_version, and generation_timestamp in the contract record.</w:t>
      </w:r>
    </w:p>
    <w:p>
      <w:pPr>
        <w:pStyle w:val="ListParagraph"/>
        <w:numPr>
          <w:ilvl w:val="0"/>
          <w:numId w:val="2"/>
        </w:numPr>
        <w:spacing w:before="60" w:after="60"/>
      </w:pPr>
      <w:r>
        <w:rPr>
          <w:rFonts w:ascii="Arial" w:cs="Arial" w:eastAsia="Arial" w:hAnsi="Arial"/>
          <w:b/>
          <w:bCs/>
          <w:color w:val="4C1D95"/>
          <w:sz w:val="22"/>
          <w:szCs w:val="22"/>
        </w:rPr>
        <w:t xml:space="preserve">Document Versioning: </w:t>
      </w:r>
      <w:r>
        <w:rPr>
          <w:rFonts w:ascii="Arial" w:cs="Arial" w:eastAsia="Arial" w:hAnsi="Arial"/>
          <w:color w:val="1E293B"/>
          <w:sz w:val="22"/>
          <w:szCs w:val="22"/>
        </w:rPr>
        <w:t xml:space="preserve">Each contract amendment triggers a new document generation request. Old document URLs are preserved in royalty.contract_versions for legal audit trail completeness.</w:t>
      </w:r>
    </w:p>
    <w:p>
      <w:pPr>
        <w:spacing w:before="40" w:after="40"/>
      </w:pPr>
    </w:p>
    <w:p>
      <w:pPr>
        <w:pStyle w:val="Heading2"/>
        <w:spacing w:before="280" w:after="100"/>
      </w:pPr>
      <w:r>
        <w:rPr>
          <w:rFonts w:ascii="Arial" w:cs="Arial" w:eastAsia="Arial" w:hAnsi="Arial"/>
          <w:b/>
          <w:bCs/>
          <w:color w:val="0D7A5F"/>
          <w:sz w:val="24"/>
          <w:szCs w:val="24"/>
        </w:rPr>
        <w:t xml:space="preserve">3.4 Digital Signature Coordination</w:t>
      </w:r>
    </w:p>
    <w:p>
      <w:pPr>
        <w:pStyle w:val="ListParagraph"/>
        <w:numPr>
          <w:ilvl w:val="0"/>
          <w:numId w:val="2"/>
        </w:numPr>
        <w:spacing w:before="60" w:after="60"/>
      </w:pPr>
      <w:r>
        <w:rPr>
          <w:rFonts w:ascii="Arial" w:cs="Arial" w:eastAsia="Arial" w:hAnsi="Arial"/>
          <w:b/>
          <w:bCs/>
          <w:color w:val="4C1D95"/>
          <w:sz w:val="22"/>
          <w:szCs w:val="22"/>
        </w:rPr>
        <w:t xml:space="preserve">Signature Routing: </w:t>
      </w:r>
      <w:r>
        <w:rPr>
          <w:rFonts w:ascii="Arial" w:cs="Arial" w:eastAsia="Arial" w:hAnsi="Arial"/>
          <w:color w:val="1E293B"/>
          <w:sz w:val="22"/>
          <w:szCs w:val="22"/>
        </w:rPr>
        <w:t xml:space="preserve">When contract advances to PENDING_SIGNATURE state, publishes signature.requested Kafka event to the Digital Signature Service with contract_id, signer roles (candidate + business representative), and document_url.</w:t>
      </w:r>
    </w:p>
    <w:p>
      <w:pPr>
        <w:pStyle w:val="ListParagraph"/>
        <w:numPr>
          <w:ilvl w:val="0"/>
          <w:numId w:val="2"/>
        </w:numPr>
        <w:spacing w:before="60" w:after="60"/>
      </w:pPr>
      <w:r>
        <w:rPr>
          <w:rFonts w:ascii="Arial" w:cs="Arial" w:eastAsia="Arial" w:hAnsi="Arial"/>
          <w:b/>
          <w:bCs/>
          <w:color w:val="4C1D95"/>
          <w:sz w:val="22"/>
          <w:szCs w:val="22"/>
        </w:rPr>
        <w:t xml:space="preserve">Signature Status Tracking: </w:t>
      </w:r>
      <w:r>
        <w:rPr>
          <w:rFonts w:ascii="Arial" w:cs="Arial" w:eastAsia="Arial" w:hAnsi="Arial"/>
          <w:color w:val="1E293B"/>
          <w:sz w:val="22"/>
          <w:szCs w:val="22"/>
        </w:rPr>
        <w:t xml:space="preserve">Consumes document.signed events from Digital Signature Service. Updates contract record with signature_timestamp, signatory_keycloak_ids, and digital_signature_hash. Transitions contract to ACTIVE state on all-party signature completion.</w:t>
      </w:r>
    </w:p>
    <w:p>
      <w:pPr>
        <w:pStyle w:val="ListParagraph"/>
        <w:numPr>
          <w:ilvl w:val="0"/>
          <w:numId w:val="2"/>
        </w:numPr>
        <w:spacing w:before="60" w:after="60"/>
      </w:pPr>
      <w:r>
        <w:rPr>
          <w:rFonts w:ascii="Arial" w:cs="Arial" w:eastAsia="Arial" w:hAnsi="Arial"/>
          <w:b/>
          <w:bCs/>
          <w:color w:val="4C1D95"/>
          <w:sz w:val="22"/>
          <w:szCs w:val="22"/>
        </w:rPr>
        <w:t xml:space="preserve">Partial Signature Handling: </w:t>
      </w:r>
      <w:r>
        <w:rPr>
          <w:rFonts w:ascii="Arial" w:cs="Arial" w:eastAsia="Arial" w:hAnsi="Arial"/>
          <w:color w:val="1E293B"/>
          <w:sz w:val="22"/>
          <w:szCs w:val="22"/>
        </w:rPr>
        <w:t xml:space="preserve">Tracks per-party signature completion in royalty.contract_signatures table. If any party's signature times out (configurable TTL, default: 7 days), transitions contract back to PENDING_REVIEW and emits licensing.contract.signature.timeout event to trigger notification-service.</w:t>
      </w:r>
    </w:p>
    <w:p>
      <w:pPr>
        <w:spacing w:before="40" w:after="40"/>
      </w:pPr>
    </w:p>
    <w:p>
      <w:pPr>
        <w:pStyle w:val="Heading2"/>
        <w:spacing w:before="280" w:after="100"/>
      </w:pPr>
      <w:r>
        <w:rPr>
          <w:rFonts w:ascii="Arial" w:cs="Arial" w:eastAsia="Arial" w:hAnsi="Arial"/>
          <w:b/>
          <w:bCs/>
          <w:color w:val="0D7A5F"/>
          <w:sz w:val="24"/>
          <w:szCs w:val="24"/>
        </w:rPr>
        <w:t xml:space="preserve">3.5 Kafka Event Coordination</w:t>
      </w:r>
    </w:p>
    <w:p>
      <w:pPr>
        <w:pStyle w:val="ListParagraph"/>
        <w:numPr>
          <w:ilvl w:val="0"/>
          <w:numId w:val="2"/>
        </w:numPr>
        <w:spacing w:before="60" w:after="60"/>
      </w:pPr>
      <w:r>
        <w:rPr>
          <w:rFonts w:ascii="Arial" w:cs="Arial" w:eastAsia="Arial" w:hAnsi="Arial"/>
          <w:b/>
          <w:bCs/>
          <w:color w:val="4C1D95"/>
          <w:sz w:val="22"/>
          <w:szCs w:val="22"/>
        </w:rPr>
        <w:t xml:space="preserve">Event Consumption: </w:t>
      </w:r>
      <w:r>
        <w:rPr>
          <w:rFonts w:ascii="Arial" w:cs="Arial" w:eastAsia="Arial" w:hAnsi="Arial"/>
          <w:color w:val="1E293B"/>
          <w:sz w:val="22"/>
          <w:szCs w:val="22"/>
        </w:rPr>
        <w:t xml:space="preserve">Consumes: idea.marketplace.license.intent (Idea Marketplace Service — licensing request trigger), document.generated (Legal Doc Service — PDF ready), document.signed (Digital Sig Service — signature complete), innovation.trust.consent.approved (Innovation Trust Governance — minor guardian approval).</w:t>
      </w:r>
    </w:p>
    <w:p>
      <w:pPr>
        <w:pStyle w:val="ListParagraph"/>
        <w:numPr>
          <w:ilvl w:val="0"/>
          <w:numId w:val="2"/>
        </w:numPr>
        <w:spacing w:before="60" w:after="60"/>
      </w:pPr>
      <w:r>
        <w:rPr>
          <w:rFonts w:ascii="Arial" w:cs="Arial" w:eastAsia="Arial" w:hAnsi="Arial"/>
          <w:b/>
          <w:bCs/>
          <w:color w:val="4C1D95"/>
          <w:sz w:val="22"/>
          <w:szCs w:val="22"/>
        </w:rPr>
        <w:t xml:space="preserve">Event Publication: </w:t>
      </w:r>
      <w:r>
        <w:rPr>
          <w:rFonts w:ascii="Arial" w:cs="Arial" w:eastAsia="Arial" w:hAnsi="Arial"/>
          <w:color w:val="1E293B"/>
          <w:sz w:val="22"/>
          <w:szCs w:val="22"/>
        </w:rPr>
        <w:t xml:space="preserve">Publishes: licensing.contract.signed (consumed by Royalty Accounting Engine, Royalty Wallet Service, analytics-service), licensing.contract.amended, licensing.contract.terminated, licensing.contract.signature.timeout (consumed by notification-service).</w:t>
      </w:r>
    </w:p>
    <w:p>
      <w:pPr>
        <w:pStyle w:val="ListParagraph"/>
        <w:numPr>
          <w:ilvl w:val="0"/>
          <w:numId w:val="2"/>
        </w:numPr>
        <w:spacing w:before="60" w:after="60"/>
      </w:pPr>
      <w:r>
        <w:rPr>
          <w:rFonts w:ascii="Arial" w:cs="Arial" w:eastAsia="Arial" w:hAnsi="Arial"/>
          <w:b/>
          <w:bCs/>
          <w:color w:val="4C1D95"/>
          <w:sz w:val="22"/>
          <w:szCs w:val="22"/>
        </w:rPr>
        <w:t xml:space="preserve">DLQ Compliance: </w:t>
      </w:r>
      <w:r>
        <w:rPr>
          <w:rFonts w:ascii="Arial" w:cs="Arial" w:eastAsia="Arial" w:hAnsi="Arial"/>
          <w:color w:val="1E293B"/>
          <w:sz w:val="22"/>
          <w:szCs w:val="22"/>
        </w:rPr>
        <w:t xml:space="preserve">All consumer groups follow Ecoskiller Kafka standards: max 3 retries with exponential backoff; failed events routed to *.dlq topics. Consumer group naming: licensing-contract-service-{topic}-consumer.</w:t>
      </w:r>
    </w:p>
    <w:p>
      <w:pPr>
        <w:spacing w:before="40" w:after="40"/>
      </w:pPr>
    </w:p>
    <w:p>
      <w:pPr>
        <w:pStyle w:val="Heading2"/>
        <w:spacing w:before="280" w:after="100"/>
      </w:pPr>
      <w:r>
        <w:rPr>
          <w:rFonts w:ascii="Arial" w:cs="Arial" w:eastAsia="Arial" w:hAnsi="Arial"/>
          <w:b/>
          <w:bCs/>
          <w:color w:val="0D7A5F"/>
          <w:sz w:val="24"/>
          <w:szCs w:val="24"/>
        </w:rPr>
        <w:t xml:space="preserve">3.6 Compliance, Archival &amp; Audit</w:t>
      </w:r>
    </w:p>
    <w:p>
      <w:pPr>
        <w:pStyle w:val="ListParagraph"/>
        <w:numPr>
          <w:ilvl w:val="0"/>
          <w:numId w:val="2"/>
        </w:numPr>
        <w:spacing w:before="60" w:after="60"/>
      </w:pPr>
      <w:r>
        <w:rPr>
          <w:rFonts w:ascii="Arial" w:cs="Arial" w:eastAsia="Arial" w:hAnsi="Arial"/>
          <w:b/>
          <w:bCs/>
          <w:color w:val="4C1D95"/>
          <w:sz w:val="22"/>
          <w:szCs w:val="22"/>
        </w:rPr>
        <w:t xml:space="preserve">WORM Archival Trigger: </w:t>
      </w:r>
      <w:r>
        <w:rPr>
          <w:rFonts w:ascii="Arial" w:cs="Arial" w:eastAsia="Arial" w:hAnsi="Arial"/>
          <w:color w:val="1E293B"/>
          <w:sz w:val="22"/>
          <w:szCs w:val="22"/>
        </w:rPr>
        <w:t xml:space="preserve">On ACTIVE state (all-party signature complete), publishes archive.requested event to the Immutable Archive Service, which stores the signed contract PDF in MinIO ecoskiller-royalty-contracts bucket with GOVERNANCE-mode Object Locking (15-year retention policy).</w:t>
      </w:r>
    </w:p>
    <w:p>
      <w:pPr>
        <w:pStyle w:val="ListParagraph"/>
        <w:numPr>
          <w:ilvl w:val="0"/>
          <w:numId w:val="2"/>
        </w:numPr>
        <w:spacing w:before="60" w:after="60"/>
      </w:pPr>
      <w:r>
        <w:rPr>
          <w:rFonts w:ascii="Arial" w:cs="Arial" w:eastAsia="Arial" w:hAnsi="Arial"/>
          <w:b/>
          <w:bCs/>
          <w:color w:val="4C1D95"/>
          <w:sz w:val="22"/>
          <w:szCs w:val="22"/>
        </w:rPr>
        <w:t xml:space="preserve">DPDPA 2023 Compliance: </w:t>
      </w:r>
      <w:r>
        <w:rPr>
          <w:rFonts w:ascii="Arial" w:cs="Arial" w:eastAsia="Arial" w:hAnsi="Arial"/>
          <w:color w:val="1E293B"/>
          <w:sz w:val="22"/>
          <w:szCs w:val="22"/>
        </w:rPr>
        <w:t xml:space="preserve">All contract records containing personal data of Indian residents include a consent_reference_id linking to the DPDPA consent record managed by the Innovation Trust Governance Service. Data erasure requests for minor candidates do not delete contract records but anonymise PII fields per Ecoskiller's data retention policy.</w:t>
      </w:r>
    </w:p>
    <w:p>
      <w:pPr>
        <w:pStyle w:val="ListParagraph"/>
        <w:numPr>
          <w:ilvl w:val="0"/>
          <w:numId w:val="2"/>
        </w:numPr>
        <w:spacing w:before="60" w:after="60"/>
      </w:pPr>
      <w:r>
        <w:rPr>
          <w:rFonts w:ascii="Arial" w:cs="Arial" w:eastAsia="Arial" w:hAnsi="Arial"/>
          <w:b/>
          <w:bCs/>
          <w:color w:val="4C1D95"/>
          <w:sz w:val="22"/>
          <w:szCs w:val="22"/>
        </w:rPr>
        <w:t xml:space="preserve">GST Compliance: </w:t>
      </w:r>
      <w:r>
        <w:rPr>
          <w:rFonts w:ascii="Arial" w:cs="Arial" w:eastAsia="Arial" w:hAnsi="Arial"/>
          <w:color w:val="1E293B"/>
          <w:sz w:val="22"/>
          <w:szCs w:val="22"/>
        </w:rPr>
        <w:t xml:space="preserve">Contract records include GST-relevant fields (licensee_gstin, royalty_nature, hsn_sac_code) required for GST-compliant royalty payment invoices generated by billing-service. India IT Act 2000 digital signature validity is enforced by requiring Keycloak-verified identity for all signatories.</w:t>
      </w:r>
    </w:p>
    <w:p>
      <w:pPr>
        <w:pStyle w:val="ListParagraph"/>
        <w:numPr>
          <w:ilvl w:val="0"/>
          <w:numId w:val="2"/>
        </w:numPr>
        <w:spacing w:before="60" w:after="60"/>
      </w:pPr>
      <w:r>
        <w:rPr>
          <w:rFonts w:ascii="Arial" w:cs="Arial" w:eastAsia="Arial" w:hAnsi="Arial"/>
          <w:b/>
          <w:bCs/>
          <w:color w:val="4C1D95"/>
          <w:sz w:val="22"/>
          <w:szCs w:val="22"/>
        </w:rPr>
        <w:t xml:space="preserve">Audit Trail: </w:t>
      </w:r>
      <w:r>
        <w:rPr>
          <w:rFonts w:ascii="Arial" w:cs="Arial" w:eastAsia="Arial" w:hAnsi="Arial"/>
          <w:color w:val="1E293B"/>
          <w:sz w:val="22"/>
          <w:szCs w:val="22"/>
        </w:rPr>
        <w:t xml:space="preserve">Every state transition, amendment, and access event is written to ClickHouse (royalty_audit_log table) with actor_id, action, contract_id, version, and timestamp for Royalty Audit &amp; Compliance Service queries.</w:t>
      </w:r>
    </w:p>
    <w:p>
      <w:pPr>
        <w:pStyle w:val="Heading1"/>
        <w:pBdr>
          <w:bottom w:val="single" w:color="4C1D95" w:sz="4" w:space="4"/>
        </w:pBdr>
        <w:spacing w:before="360" w:after="160"/>
      </w:pPr>
      <w:r>
        <w:rPr>
          <w:rFonts w:ascii="Arial" w:cs="Arial" w:eastAsia="Arial" w:hAnsi="Arial"/>
          <w:b/>
          <w:bCs/>
          <w:color w:val="4C1D95"/>
          <w:sz w:val="30"/>
          <w:szCs w:val="30"/>
        </w:rPr>
        <w:t xml:space="preserve">4. Key Features</w:t>
      </w:r>
    </w:p>
    <w:p>
      <w:pPr>
        <w:pStyle w:val="Heading2"/>
        <w:spacing w:before="280" w:after="100"/>
      </w:pPr>
      <w:r>
        <w:rPr>
          <w:rFonts w:ascii="Arial" w:cs="Arial" w:eastAsia="Arial" w:hAnsi="Arial"/>
          <w:b/>
          <w:bCs/>
          <w:color w:val="0D7A5F"/>
          <w:sz w:val="24"/>
          <w:szCs w:val="24"/>
        </w:rPr>
        <w:t xml:space="preserve">4.1 Atomic Contract State Machine with Version History</w:t>
      </w:r>
    </w:p>
    <w:p>
      <w:pPr>
        <w:spacing w:before="80" w:after="100"/>
      </w:pPr>
      <w:r>
        <w:rPr>
          <w:rFonts w:ascii="Arial" w:cs="Arial" w:eastAsia="Arial" w:hAnsi="Arial"/>
          <w:color w:val="1E293B"/>
          <w:sz w:val="22"/>
          <w:szCs w:val="22"/>
        </w:rPr>
        <w:t xml:space="preserve">All contract state transitions are executed atomically using PostgreSQL transactions with advisory locks on the contract_id to prevent race conditions during concurrent amendment requests from both parties. Every transition writes a new version row to royalty.contract_versions before updating the live contract state, ensuring the full negotiation history is immutably preserved. Downstream services (Royalty Accounting Engine, Royalty Audit Service) always reference the contract's ACTIVE version by reading the royalty.contracts table — historical versions are accessible for dispute resolution only via the audit REST endpoint.</w:t>
      </w:r>
    </w:p>
    <w:p>
      <w:pPr>
        <w:spacing w:before="40" w:after="40"/>
      </w:pPr>
    </w:p>
    <w:p>
      <w:pPr>
        <w:pStyle w:val="Heading2"/>
        <w:spacing w:before="280" w:after="100"/>
      </w:pPr>
      <w:r>
        <w:rPr>
          <w:rFonts w:ascii="Arial" w:cs="Arial" w:eastAsia="Arial" w:hAnsi="Arial"/>
          <w:b/>
          <w:bCs/>
          <w:color w:val="0D7A5F"/>
          <w:sz w:val="24"/>
          <w:szCs w:val="24"/>
        </w:rPr>
        <w:t xml:space="preserve">4.2 Multi-Party Digital Signature Orchestration</w:t>
      </w:r>
    </w:p>
    <w:p>
      <w:pPr>
        <w:spacing w:before="80" w:after="100"/>
      </w:pPr>
      <w:r>
        <w:rPr>
          <w:rFonts w:ascii="Arial" w:cs="Arial" w:eastAsia="Arial" w:hAnsi="Arial"/>
          <w:color w:val="1E293B"/>
          <w:sz w:val="22"/>
          <w:szCs w:val="22"/>
        </w:rPr>
        <w:t xml:space="preserve">The service orchestrates a multi-round digital signature flow without implementing signature logic itself. After document generation, it routes to the Digital Signature Service (Keycloak OIDC identity-verified) and tracks per-party completion in royalty.contract_signatures. Signatures must be completed by all designated parties (idea owner candidate + authorised business signatory + optional guardian for minors) within the configurable signature TTL (default: 7 days). Partial completion is tracked and surfaced via the REST API status endpoint, enabling frontend clients to display signature progress per party.</w:t>
      </w:r>
    </w:p>
    <w:p>
      <w:pPr>
        <w:spacing w:before="40" w:after="40"/>
      </w:pPr>
    </w:p>
    <w:p>
      <w:pPr>
        <w:pStyle w:val="Heading2"/>
        <w:spacing w:before="280" w:after="100"/>
      </w:pPr>
      <w:r>
        <w:rPr>
          <w:rFonts w:ascii="Arial" w:cs="Arial" w:eastAsia="Arial" w:hAnsi="Arial"/>
          <w:b/>
          <w:bCs/>
          <w:color w:val="0D7A5F"/>
          <w:sz w:val="24"/>
          <w:szCs w:val="24"/>
        </w:rPr>
        <w:t xml:space="preserve">4.3 Minor Candidate IP Protection</w:t>
      </w:r>
    </w:p>
    <w:p>
      <w:pPr>
        <w:spacing w:before="80" w:after="100"/>
      </w:pPr>
      <w:r>
        <w:rPr>
          <w:rFonts w:ascii="Arial" w:cs="Arial" w:eastAsia="Arial" w:hAnsi="Arial"/>
          <w:color w:val="1E293B"/>
          <w:sz w:val="22"/>
          <w:szCs w:val="22"/>
        </w:rPr>
        <w:t xml:space="preserve">Ecoskiller's Module XIII explicitly supports minor candidates (under 18) as idea submitters. For a minor's idea to be licensed, the licensing-contract-service enforces a mandatory parent/guardian consent gate before contract creation can proceed. Guardian approval is coordinated via the Innovation Trust Governance Service, which holds Keycloak-managed guardian roles. On the candidate's 18th birthday (tracked via a scheduled Apache Airflow job), the service triggers an ownership transfer event (licensing.ownership.transferred) that removes the guardian co-signatory requirement from future amendments. This ensures legally compliant treatment of minor IP under Indian Contract Act provisions.</w:t>
      </w:r>
    </w:p>
    <w:p>
      <w:pPr>
        <w:spacing w:before="40" w:after="40"/>
      </w:pPr>
    </w:p>
    <w:p>
      <w:pPr>
        <w:pStyle w:val="Heading2"/>
        <w:spacing w:before="280" w:after="100"/>
      </w:pPr>
      <w:r>
        <w:rPr>
          <w:rFonts w:ascii="Arial" w:cs="Arial" w:eastAsia="Arial" w:hAnsi="Arial"/>
          <w:b/>
          <w:bCs/>
          <w:color w:val="0D7A5F"/>
          <w:sz w:val="24"/>
          <w:szCs w:val="24"/>
        </w:rPr>
        <w:t xml:space="preserve">4.4 Configurable Royalty Rate Guardrails</w:t>
      </w:r>
    </w:p>
    <w:p>
      <w:pPr>
        <w:spacing w:before="80" w:after="100"/>
      </w:pPr>
      <w:r>
        <w:rPr>
          <w:rFonts w:ascii="Arial" w:cs="Arial" w:eastAsia="Arial" w:hAnsi="Arial"/>
          <w:color w:val="1E293B"/>
          <w:sz w:val="22"/>
          <w:szCs w:val="22"/>
        </w:rPr>
        <w:t xml:space="preserve">Royalty rates are not free-form text — they are validated against Ecoskiller's platform royalty rate table stored in PostgreSQL (royalty.platform_rate_config, per-tenant overridable). The default permissible range is 0.01–0.05% of licensee relevant annual revenue. The service rejects at the API layer any contract creation request with a rate outside the configured range. Enterprise tenants can configure custom rate ranges via the admin-service, but rate changes apply only to new contracts — existing ACTIVE contracts are not retroactively affected. This prevents inadvertent under-licensing that would fail the Royalty Audit &amp; Compliance minimum royalty clause enforcement.</w:t>
      </w:r>
    </w:p>
    <w:p>
      <w:pPr>
        <w:spacing w:before="40" w:after="40"/>
      </w:pPr>
    </w:p>
    <w:p>
      <w:pPr>
        <w:pStyle w:val="Heading2"/>
        <w:spacing w:before="280" w:after="100"/>
      </w:pPr>
      <w:r>
        <w:rPr>
          <w:rFonts w:ascii="Arial" w:cs="Arial" w:eastAsia="Arial" w:hAnsi="Arial"/>
          <w:b/>
          <w:bCs/>
          <w:color w:val="0D7A5F"/>
          <w:sz w:val="24"/>
          <w:szCs w:val="24"/>
        </w:rPr>
        <w:t xml:space="preserve">4.5 Immutable 15-Year WORM Archival</w:t>
      </w:r>
    </w:p>
    <w:p>
      <w:pPr>
        <w:spacing w:before="80" w:after="100"/>
      </w:pPr>
      <w:r>
        <w:rPr>
          <w:rFonts w:ascii="Arial" w:cs="Arial" w:eastAsia="Arial" w:hAnsi="Arial"/>
          <w:color w:val="1E293B"/>
          <w:sz w:val="22"/>
          <w:szCs w:val="22"/>
        </w:rPr>
        <w:t xml:space="preserve">Every fully executed (ACTIVE) contract triggers archival to MinIO's ecoskiller-royalty-contracts bucket, which is configured with GOVERNANCE-mode Object Locking and a 15-year retention policy. The MinIO object URL and ETag are stored in the contract record as archive_url and archive_etag. The Immutable Archive Service indexes the archived document in ClickHouse for audit query access. No service — including licensing-contract-service itself — can delete or overwrite an archived contract document. This design satisfies India IT Act 2000 requirements for validity of electronically executed commercial agreements and GST audit requirements for invoice-linked contract retention.</w:t>
      </w:r>
    </w:p>
    <w:p>
      <w:pPr>
        <w:spacing w:before="40" w:after="40"/>
      </w:pPr>
    </w:p>
    <w:p>
      <w:pPr>
        <w:pStyle w:val="Heading2"/>
        <w:spacing w:before="280" w:after="100"/>
      </w:pPr>
      <w:r>
        <w:rPr>
          <w:rFonts w:ascii="Arial" w:cs="Arial" w:eastAsia="Arial" w:hAnsi="Arial"/>
          <w:b/>
          <w:bCs/>
          <w:color w:val="0D7A5F"/>
          <w:sz w:val="24"/>
          <w:szCs w:val="24"/>
        </w:rPr>
        <w:t xml:space="preserve">4.6 Multi-Tenant Contract Isolation</w:t>
      </w:r>
    </w:p>
    <w:p>
      <w:pPr>
        <w:spacing w:before="80" w:after="100"/>
      </w:pPr>
      <w:r>
        <w:rPr>
          <w:rFonts w:ascii="Arial" w:cs="Arial" w:eastAsia="Arial" w:hAnsi="Arial"/>
          <w:color w:val="1E293B"/>
          <w:sz w:val="22"/>
          <w:szCs w:val="22"/>
        </w:rPr>
        <w:t xml:space="preserve">All PostgreSQL operations are scoped by tenant_id with Row-Level Security (RLS) policies on royalty.contracts, royalty.contract_versions, and royalty.contract_signatures. A business entity operating in one tenant cannot access contract records from another tenant even via direct database queries with a compromised application credential. Kafka events include tenant_id as a required top-level field, enabling downstream services to enforce tenant-scoped processing. MinIO bucket naming (ecoskiller-royalty-contracts-{tenant_id}) provides object storage isolation.</w:t>
      </w:r>
    </w:p>
    <w:p>
      <w:pPr>
        <w:spacing w:before="40" w:after="40"/>
      </w:pPr>
    </w:p>
    <w:p>
      <w:pPr>
        <w:pStyle w:val="Heading2"/>
        <w:spacing w:before="280" w:after="100"/>
      </w:pPr>
      <w:r>
        <w:rPr>
          <w:rFonts w:ascii="Arial" w:cs="Arial" w:eastAsia="Arial" w:hAnsi="Arial"/>
          <w:b/>
          <w:bCs/>
          <w:color w:val="0D7A5F"/>
          <w:sz w:val="24"/>
          <w:szCs w:val="24"/>
        </w:rPr>
        <w:t xml:space="preserve">4.7 Contract Search &amp; Recruiter Dashboard Integration</w:t>
      </w:r>
    </w:p>
    <w:p>
      <w:pPr>
        <w:spacing w:before="80" w:after="100"/>
      </w:pPr>
      <w:r>
        <w:rPr>
          <w:rFonts w:ascii="Arial" w:cs="Arial" w:eastAsia="Arial" w:hAnsi="Arial"/>
          <w:color w:val="1E293B"/>
          <w:sz w:val="22"/>
          <w:szCs w:val="22"/>
        </w:rPr>
        <w:t xml:space="preserve">The service exposes a paginated, filterable REST API (GET /api/v1/contracts) enabling recruiter-service and admin-service to query contract records by status, idea_id, candidate_id, licensee_business_id, and date range. Results are returned with metadata (current_state, version_count, next_review_date, royalty_rate, term_remaining_years) without exposing full contract document content — full documents are accessible only via pre-signed MinIO URLs issued per request, not embedded in API responses. This prevents inadvertent logging of sensitive contract content in API gateway logs.</w:t>
      </w:r>
    </w:p>
    <w:p>
      <w:pPr>
        <w:pStyle w:val="Heading1"/>
        <w:pBdr>
          <w:bottom w:val="single" w:color="4C1D95" w:sz="4" w:space="4"/>
        </w:pBdr>
        <w:spacing w:before="360" w:after="160"/>
      </w:pPr>
      <w:r>
        <w:rPr>
          <w:rFonts w:ascii="Arial" w:cs="Arial" w:eastAsia="Arial" w:hAnsi="Arial"/>
          <w:b/>
          <w:bCs/>
          <w:color w:val="4C1D95"/>
          <w:sz w:val="30"/>
          <w:szCs w:val="30"/>
        </w:rPr>
        <w:t xml:space="preserve">5. Inputs</w:t>
      </w:r>
    </w:p>
    <w:p>
      <w:pPr>
        <w:spacing w:before="80" w:after="100"/>
      </w:pPr>
      <w:r>
        <w:rPr>
          <w:rFonts w:ascii="Arial" w:cs="Arial" w:eastAsia="Arial" w:hAnsi="Arial"/>
          <w:color w:val="1E293B"/>
          <w:sz w:val="22"/>
          <w:szCs w:val="22"/>
        </w:rPr>
        <w:t xml:space="preserve">The licensing-contract-service receives inputs from three channels: Kafka events (async triggers from upstream services), REST API calls (from internal Ecoskiller services and authorised user clients), and PostgreSQL/Redis reads (state and configuration lookups).</w:t>
      </w:r>
    </w:p>
    <w:p>
      <w:pPr>
        <w:spacing w:before="40" w:after="40"/>
      </w:pPr>
    </w:p>
    <w:p>
      <w:pPr>
        <w:pStyle w:val="Heading2"/>
        <w:spacing w:before="280" w:after="100"/>
      </w:pPr>
      <w:r>
        <w:rPr>
          <w:rFonts w:ascii="Arial" w:cs="Arial" w:eastAsia="Arial" w:hAnsi="Arial"/>
          <w:b/>
          <w:bCs/>
          <w:color w:val="0D7A5F"/>
          <w:sz w:val="24"/>
          <w:szCs w:val="24"/>
        </w:rPr>
        <w:t xml:space="preserve">5.1 Kafka Topics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00"/>
        <w:gridCol w:w="1060"/>
        <w:gridCol w:w="1000"/>
      </w:tblGrid>
      <w:tr>
        <w:trPr>
          <w:tblHeader/>
        </w:trPr>
        <w:tc>
          <w:tcPr>
            <w:tcW w:type="dxa" w:w="24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Topic</w:t>
            </w:r>
          </w:p>
        </w:tc>
        <w:tc>
          <w:tcPr>
            <w:tcW w:type="dxa" w:w="20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Producer Service</w:t>
            </w:r>
          </w:p>
        </w:tc>
        <w:tc>
          <w:tcPr>
            <w:tcW w:type="dxa" w:w="29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Trigger / Payload</w:t>
            </w:r>
          </w:p>
        </w:tc>
        <w:tc>
          <w:tcPr>
            <w:tcW w:type="dxa" w:w="106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Partitions</w:t>
            </w:r>
          </w:p>
        </w:tc>
        <w:tc>
          <w:tcPr>
            <w:tcW w:type="dxa" w:w="10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Retention</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idea.marketplace.license.intent</w:t>
            </w:r>
          </w:p>
        </w:tc>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Idea Marketplace Service (XII)</w:t>
            </w:r>
          </w:p>
        </w:tc>
        <w:tc>
          <w:tcPr>
            <w:tcW w:type="dxa" w:w="2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Business entity requests to license a specific idea. Payload: { idea_id, idea_owner_candidate_id, licensee_business_id, tenant_id, proposed_rate, proposed_term_years, scope }</w:t>
            </w:r>
          </w:p>
        </w:tc>
        <w:tc>
          <w:tcPr>
            <w:tcW w:type="dxa" w:w="10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6</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30 days</w:t>
            </w:r>
          </w:p>
        </w:tc>
      </w:tr>
      <w:tr>
        <w:tc>
          <w:tcPr>
            <w:tcW w:type="dxa" w:w="24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document.generated</w:t>
            </w:r>
          </w:p>
        </w:tc>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Legal Document Generation Service</w:t>
            </w:r>
          </w:p>
        </w:tc>
        <w:tc>
          <w:tcPr>
            <w:tcW w:type="dxa" w:w="2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PDF contract document ready in MinIO. Payload: { contract_id, document_url, document_version, generation_ts }</w:t>
            </w:r>
          </w:p>
        </w:tc>
        <w:tc>
          <w:tcPr>
            <w:tcW w:type="dxa" w:w="10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7 days</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document.signed</w:t>
            </w:r>
          </w:p>
        </w:tc>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Digital Signature Service</w:t>
            </w:r>
          </w:p>
        </w:tc>
        <w:tc>
          <w:tcPr>
            <w:tcW w:type="dxa" w:w="2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All-party or partial signature completion. Payload: { contract_id, signer_id, signer_role, signature_hash, signed_at, all_parties_signed: bool }</w:t>
            </w:r>
          </w:p>
        </w:tc>
        <w:tc>
          <w:tcPr>
            <w:tcW w:type="dxa" w:w="10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7 days</w:t>
            </w:r>
          </w:p>
        </w:tc>
      </w:tr>
      <w:tr>
        <w:tc>
          <w:tcPr>
            <w:tcW w:type="dxa" w:w="24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innovation.trust.consent.approved</w:t>
            </w:r>
          </w:p>
        </w:tc>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Innovation Trust Governance Service</w:t>
            </w:r>
          </w:p>
        </w:tc>
        <w:tc>
          <w:tcPr>
            <w:tcW w:type="dxa" w:w="2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Guardian consent approved for minor candidate idea licensing. Payload: { contract_id, guardian_id, candidate_id, consent_reference_id, approved_at }</w:t>
            </w:r>
          </w:p>
        </w:tc>
        <w:tc>
          <w:tcPr>
            <w:tcW w:type="dxa" w:w="10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30 days</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licensing.ownership.transfer.due</w:t>
            </w:r>
          </w:p>
        </w:tc>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Apache Airflow (scheduled)</w:t>
            </w:r>
          </w:p>
        </w:tc>
        <w:tc>
          <w:tcPr>
            <w:tcW w:type="dxa" w:w="2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Minor candidate has reached age 18 — trigger ownership transfer flow. Payload: { candidate_id, contract_ids[], tenant_id }</w:t>
            </w:r>
          </w:p>
        </w:tc>
        <w:tc>
          <w:tcPr>
            <w:tcW w:type="dxa" w:w="10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7 days</w:t>
            </w:r>
          </w:p>
        </w:tc>
      </w:tr>
    </w:tbl>
    <w:p>
      <w:pPr>
        <w:spacing w:before="40" w:after="40"/>
      </w:pPr>
    </w:p>
    <w:p>
      <w:pPr>
        <w:pStyle w:val="Heading2"/>
        <w:spacing w:before="280" w:after="100"/>
      </w:pPr>
      <w:r>
        <w:rPr>
          <w:rFonts w:ascii="Arial" w:cs="Arial" w:eastAsia="Arial" w:hAnsi="Arial"/>
          <w:b/>
          <w:bCs/>
          <w:color w:val="0D7A5F"/>
          <w:sz w:val="24"/>
          <w:szCs w:val="24"/>
        </w:rPr>
        <w:t xml:space="preserve">5.2 REST API Inputs (Internal, JWT-Secured via Keycloak)</w:t>
      </w:r>
    </w:p>
    <w:p>
      <w:pPr>
        <w:pStyle w:val="ListParagraph"/>
        <w:numPr>
          <w:ilvl w:val="0"/>
          <w:numId w:val="2"/>
        </w:numPr>
        <w:spacing w:before="60" w:after="60"/>
      </w:pPr>
      <w:r>
        <w:rPr>
          <w:rFonts w:ascii="Arial" w:cs="Arial" w:eastAsia="Arial" w:hAnsi="Arial"/>
          <w:b/>
          <w:bCs/>
          <w:color w:val="4C1D95"/>
          <w:sz w:val="22"/>
          <w:szCs w:val="22"/>
        </w:rPr>
        <w:t xml:space="preserve">POST /api/v1/contracts: </w:t>
      </w:r>
      <w:r>
        <w:rPr>
          <w:rFonts w:ascii="Arial" w:cs="Arial" w:eastAsia="Arial" w:hAnsi="Arial"/>
          <w:color w:val="1E293B"/>
          <w:sz w:val="22"/>
          <w:szCs w:val="22"/>
        </w:rPr>
        <w:t xml:space="preserve">Create a new licensing contract record (DRAFT state). Body: { idea_id, licensee_business_id, proposed_royalty_rate, proposed_term_years, territorial_scope, usage_scope, tenant_id }. Requires role ecoskiller:licensing:create. Rate validated against royalty.platform_rate_config.</w:t>
      </w:r>
    </w:p>
    <w:p>
      <w:pPr>
        <w:pStyle w:val="ListParagraph"/>
        <w:numPr>
          <w:ilvl w:val="0"/>
          <w:numId w:val="2"/>
        </w:numPr>
        <w:spacing w:before="60" w:after="60"/>
      </w:pPr>
      <w:r>
        <w:rPr>
          <w:rFonts w:ascii="Arial" w:cs="Arial" w:eastAsia="Arial" w:hAnsi="Arial"/>
          <w:b/>
          <w:bCs/>
          <w:color w:val="4C1D95"/>
          <w:sz w:val="22"/>
          <w:szCs w:val="22"/>
        </w:rPr>
        <w:t xml:space="preserve">PATCH /api/v1/contracts/:contract_id/state: </w:t>
      </w:r>
      <w:r>
        <w:rPr>
          <w:rFonts w:ascii="Arial" w:cs="Arial" w:eastAsia="Arial" w:hAnsi="Arial"/>
          <w:color w:val="1E293B"/>
          <w:sz w:val="22"/>
          <w:szCs w:val="22"/>
        </w:rPr>
        <w:t xml:space="preserve">Advance or revert contract state. Body: { new_state, actor_id, reason }. Validates transition against state machine rules. Requires role ecoskiller:licensing:admin for terminal transitions (TERMINATED).</w:t>
      </w:r>
    </w:p>
    <w:p>
      <w:pPr>
        <w:pStyle w:val="ListParagraph"/>
        <w:numPr>
          <w:ilvl w:val="0"/>
          <w:numId w:val="2"/>
        </w:numPr>
        <w:spacing w:before="60" w:after="60"/>
      </w:pPr>
      <w:r>
        <w:rPr>
          <w:rFonts w:ascii="Arial" w:cs="Arial" w:eastAsia="Arial" w:hAnsi="Arial"/>
          <w:b/>
          <w:bCs/>
          <w:color w:val="4C1D95"/>
          <w:sz w:val="22"/>
          <w:szCs w:val="22"/>
        </w:rPr>
        <w:t xml:space="preserve">POST /api/v1/contracts/:contract_id/amend: </w:t>
      </w:r>
      <w:r>
        <w:rPr>
          <w:rFonts w:ascii="Arial" w:cs="Arial" w:eastAsia="Arial" w:hAnsi="Arial"/>
          <w:color w:val="1E293B"/>
          <w:sz w:val="22"/>
          <w:szCs w:val="22"/>
        </w:rPr>
        <w:t xml:space="preserve">Create a contract amendment. Body: { amended_fields: { royalty_rate?, term_years?, territorial_scope? }, amendment_reason }. Creates new version, triggers re-signing flow. Requires both-party consent flag.</w:t>
      </w:r>
    </w:p>
    <w:p>
      <w:pPr>
        <w:pStyle w:val="ListParagraph"/>
        <w:numPr>
          <w:ilvl w:val="0"/>
          <w:numId w:val="2"/>
        </w:numPr>
        <w:spacing w:before="60" w:after="60"/>
      </w:pPr>
      <w:r>
        <w:rPr>
          <w:rFonts w:ascii="Arial" w:cs="Arial" w:eastAsia="Arial" w:hAnsi="Arial"/>
          <w:b/>
          <w:bCs/>
          <w:color w:val="4C1D95"/>
          <w:sz w:val="22"/>
          <w:szCs w:val="22"/>
        </w:rPr>
        <w:t xml:space="preserve">GET /api/v1/contracts: </w:t>
      </w:r>
      <w:r>
        <w:rPr>
          <w:rFonts w:ascii="Arial" w:cs="Arial" w:eastAsia="Arial" w:hAnsi="Arial"/>
          <w:color w:val="1E293B"/>
          <w:sz w:val="22"/>
          <w:szCs w:val="22"/>
        </w:rPr>
        <w:t xml:space="preserve">Paginated contract list with filters: status, idea_id, candidate_id, licensee_business_id, date_range. Returns metadata only — no document content. Requires ecoskiller:viewer role.</w:t>
      </w:r>
    </w:p>
    <w:p>
      <w:pPr>
        <w:pStyle w:val="ListParagraph"/>
        <w:numPr>
          <w:ilvl w:val="0"/>
          <w:numId w:val="2"/>
        </w:numPr>
        <w:spacing w:before="60" w:after="60"/>
      </w:pPr>
      <w:r>
        <w:rPr>
          <w:rFonts w:ascii="Arial" w:cs="Arial" w:eastAsia="Arial" w:hAnsi="Arial"/>
          <w:b/>
          <w:bCs/>
          <w:color w:val="4C1D95"/>
          <w:sz w:val="22"/>
          <w:szCs w:val="22"/>
        </w:rPr>
        <w:t xml:space="preserve">GET /api/v1/contracts/:contract_id: </w:t>
      </w:r>
      <w:r>
        <w:rPr>
          <w:rFonts w:ascii="Arial" w:cs="Arial" w:eastAsia="Arial" w:hAnsi="Arial"/>
          <w:color w:val="1E293B"/>
          <w:sz w:val="22"/>
          <w:szCs w:val="22"/>
        </w:rPr>
        <w:t xml:space="preserve">Full contract record including version history summary, current state, signature status per party, archive_url. Requires ecoskiller:viewer role. Document URL is a 15-minute pre-signed MinIO URL.</w:t>
      </w:r>
    </w:p>
    <w:p>
      <w:pPr>
        <w:pStyle w:val="ListParagraph"/>
        <w:numPr>
          <w:ilvl w:val="0"/>
          <w:numId w:val="2"/>
        </w:numPr>
        <w:spacing w:before="60" w:after="60"/>
      </w:pPr>
      <w:r>
        <w:rPr>
          <w:rFonts w:ascii="Arial" w:cs="Arial" w:eastAsia="Arial" w:hAnsi="Arial"/>
          <w:b/>
          <w:bCs/>
          <w:color w:val="4C1D95"/>
          <w:sz w:val="22"/>
          <w:szCs w:val="22"/>
        </w:rPr>
        <w:t xml:space="preserve">GET /api/v1/contracts/:contract_id/versions: </w:t>
      </w:r>
      <w:r>
        <w:rPr>
          <w:rFonts w:ascii="Arial" w:cs="Arial" w:eastAsia="Arial" w:hAnsi="Arial"/>
          <w:color w:val="1E293B"/>
          <w:sz w:val="22"/>
          <w:szCs w:val="22"/>
        </w:rPr>
        <w:t xml:space="preserve">Full version history for a contract. Each version includes: changed_fields, changed_by, change_reason, version_document_url, created_at.</w:t>
      </w:r>
    </w:p>
    <w:p>
      <w:pPr>
        <w:pStyle w:val="ListParagraph"/>
        <w:numPr>
          <w:ilvl w:val="0"/>
          <w:numId w:val="2"/>
        </w:numPr>
        <w:spacing w:before="60" w:after="60"/>
      </w:pPr>
      <w:r>
        <w:rPr>
          <w:rFonts w:ascii="Arial" w:cs="Arial" w:eastAsia="Arial" w:hAnsi="Arial"/>
          <w:b/>
          <w:bCs/>
          <w:color w:val="4C1D95"/>
          <w:sz w:val="22"/>
          <w:szCs w:val="22"/>
        </w:rPr>
        <w:t xml:space="preserve">POST /api/v1/contracts/:contract_id/terminate: </w:t>
      </w:r>
      <w:r>
        <w:rPr>
          <w:rFonts w:ascii="Arial" w:cs="Arial" w:eastAsia="Arial" w:hAnsi="Arial"/>
          <w:color w:val="1E293B"/>
          <w:sz w:val="22"/>
          <w:szCs w:val="22"/>
        </w:rPr>
        <w:t xml:space="preserve">Initiates termination flow. Validates minimum royalty clause compliance with Royalty Audit Service before allowing termination. Body: { terminating_party_id, termination_reason, effective_date }.</w:t>
      </w:r>
    </w:p>
    <w:p>
      <w:pPr>
        <w:spacing w:before="40" w:after="40"/>
      </w:pPr>
    </w:p>
    <w:p>
      <w:pPr>
        <w:pStyle w:val="Heading2"/>
        <w:spacing w:before="280" w:after="100"/>
      </w:pPr>
      <w:r>
        <w:rPr>
          <w:rFonts w:ascii="Arial" w:cs="Arial" w:eastAsia="Arial" w:hAnsi="Arial"/>
          <w:b/>
          <w:bCs/>
          <w:color w:val="0D7A5F"/>
          <w:sz w:val="24"/>
          <w:szCs w:val="24"/>
        </w:rPr>
        <w:t xml:space="preserve">5.3 PostgreSQL Reads</w:t>
      </w:r>
    </w:p>
    <w:p>
      <w:pPr>
        <w:pStyle w:val="ListParagraph"/>
        <w:numPr>
          <w:ilvl w:val="0"/>
          <w:numId w:val="2"/>
        </w:numPr>
        <w:spacing w:before="60" w:after="60"/>
      </w:pPr>
      <w:r>
        <w:rPr>
          <w:rFonts w:ascii="Arial" w:cs="Arial" w:eastAsia="Arial" w:hAnsi="Arial"/>
          <w:b/>
          <w:bCs/>
          <w:color w:val="4C1D95"/>
          <w:sz w:val="22"/>
          <w:szCs w:val="22"/>
        </w:rPr>
        <w:t xml:space="preserve">royalty.platform_rate_config: </w:t>
      </w:r>
      <w:r>
        <w:rPr>
          <w:rFonts w:ascii="Arial" w:cs="Arial" w:eastAsia="Arial" w:hAnsi="Arial"/>
          <w:color w:val="1E293B"/>
          <w:sz w:val="22"/>
          <w:szCs w:val="22"/>
        </w:rPr>
        <w:t xml:space="preserve">Per-tenant permissible royalty rate ranges and term options. Read at contract creation and amendment for validation.</w:t>
      </w:r>
    </w:p>
    <w:p>
      <w:pPr>
        <w:pStyle w:val="ListParagraph"/>
        <w:numPr>
          <w:ilvl w:val="0"/>
          <w:numId w:val="2"/>
        </w:numPr>
        <w:spacing w:before="60" w:after="60"/>
      </w:pPr>
      <w:r>
        <w:rPr>
          <w:rFonts w:ascii="Arial" w:cs="Arial" w:eastAsia="Arial" w:hAnsi="Arial"/>
          <w:b/>
          <w:bCs/>
          <w:color w:val="4C1D95"/>
          <w:sz w:val="22"/>
          <w:szCs w:val="22"/>
        </w:rPr>
        <w:t xml:space="preserve">royalty.contracts: </w:t>
      </w:r>
      <w:r>
        <w:rPr>
          <w:rFonts w:ascii="Arial" w:cs="Arial" w:eastAsia="Arial" w:hAnsi="Arial"/>
          <w:color w:val="1E293B"/>
          <w:sz w:val="22"/>
          <w:szCs w:val="22"/>
        </w:rPr>
        <w:t xml:space="preserve">Existing contract records — state, current version, archive status. Read on every state transition and amendment to enforce business rules.</w:t>
      </w:r>
    </w:p>
    <w:p>
      <w:pPr>
        <w:pStyle w:val="ListParagraph"/>
        <w:numPr>
          <w:ilvl w:val="0"/>
          <w:numId w:val="2"/>
        </w:numPr>
        <w:spacing w:before="60" w:after="60"/>
      </w:pPr>
      <w:r>
        <w:rPr>
          <w:rFonts w:ascii="Arial" w:cs="Arial" w:eastAsia="Arial" w:hAnsi="Arial"/>
          <w:b/>
          <w:bCs/>
          <w:color w:val="4C1D95"/>
          <w:sz w:val="22"/>
          <w:szCs w:val="22"/>
        </w:rPr>
        <w:t xml:space="preserve">royalty.contract_versions: </w:t>
      </w:r>
      <w:r>
        <w:rPr>
          <w:rFonts w:ascii="Arial" w:cs="Arial" w:eastAsia="Arial" w:hAnsi="Arial"/>
          <w:color w:val="1E293B"/>
          <w:sz w:val="22"/>
          <w:szCs w:val="22"/>
        </w:rPr>
        <w:t xml:space="preserve">Version history — read for audit endpoints and dispute resolution queries.</w:t>
      </w:r>
    </w:p>
    <w:p>
      <w:pPr>
        <w:pStyle w:val="ListParagraph"/>
        <w:numPr>
          <w:ilvl w:val="0"/>
          <w:numId w:val="2"/>
        </w:numPr>
        <w:spacing w:before="60" w:after="60"/>
      </w:pPr>
      <w:r>
        <w:rPr>
          <w:rFonts w:ascii="Arial" w:cs="Arial" w:eastAsia="Arial" w:hAnsi="Arial"/>
          <w:b/>
          <w:bCs/>
          <w:color w:val="4C1D95"/>
          <w:sz w:val="22"/>
          <w:szCs w:val="22"/>
        </w:rPr>
        <w:t xml:space="preserve">royalty.contract_signatures: </w:t>
      </w:r>
      <w:r>
        <w:rPr>
          <w:rFonts w:ascii="Arial" w:cs="Arial" w:eastAsia="Arial" w:hAnsi="Arial"/>
          <w:color w:val="1E293B"/>
          <w:sz w:val="22"/>
          <w:szCs w:val="22"/>
        </w:rPr>
        <w:t xml:space="preserve">Per-party signature status — read to determine if all-party completion is met and to display signature progress.</w:t>
      </w:r>
    </w:p>
    <w:p>
      <w:pPr>
        <w:pStyle w:val="ListParagraph"/>
        <w:numPr>
          <w:ilvl w:val="0"/>
          <w:numId w:val="2"/>
        </w:numPr>
        <w:spacing w:before="60" w:after="60"/>
      </w:pPr>
      <w:r>
        <w:rPr>
          <w:rFonts w:ascii="Arial" w:cs="Arial" w:eastAsia="Arial" w:hAnsi="Arial"/>
          <w:b/>
          <w:bCs/>
          <w:color w:val="4C1D95"/>
          <w:sz w:val="22"/>
          <w:szCs w:val="22"/>
        </w:rPr>
        <w:t xml:space="preserve">innovation.ideas: </w:t>
      </w:r>
      <w:r>
        <w:rPr>
          <w:rFonts w:ascii="Arial" w:cs="Arial" w:eastAsia="Arial" w:hAnsi="Arial"/>
          <w:color w:val="1E293B"/>
          <w:sz w:val="22"/>
          <w:szCs w:val="22"/>
        </w:rPr>
        <w:t xml:space="preserve">Idea ownership and visibility metadata (read from the innovation PostgreSQL schema) to validate that the idea_id exists, is owned by the stated candidate, and is listed as marketplace-visible.</w:t>
      </w:r>
    </w:p>
    <w:p>
      <w:pPr>
        <w:spacing w:before="40" w:after="40"/>
      </w:pPr>
    </w:p>
    <w:p>
      <w:pPr>
        <w:pStyle w:val="Heading2"/>
        <w:spacing w:before="280" w:after="100"/>
      </w:pPr>
      <w:r>
        <w:rPr>
          <w:rFonts w:ascii="Arial" w:cs="Arial" w:eastAsia="Arial" w:hAnsi="Arial"/>
          <w:b/>
          <w:bCs/>
          <w:color w:val="0D7A5F"/>
          <w:sz w:val="24"/>
          <w:szCs w:val="24"/>
        </w:rPr>
        <w:t xml:space="preserve">5.4 Redis Reads</w:t>
      </w:r>
    </w:p>
    <w:p>
      <w:pPr>
        <w:pStyle w:val="ListParagraph"/>
        <w:numPr>
          <w:ilvl w:val="0"/>
          <w:numId w:val="2"/>
        </w:numPr>
        <w:spacing w:before="60" w:after="60"/>
      </w:pPr>
      <w:r>
        <w:rPr>
          <w:rFonts w:ascii="Arial" w:cs="Arial" w:eastAsia="Arial" w:hAnsi="Arial"/>
          <w:b/>
          <w:bCs/>
          <w:color w:val="4C1D95"/>
          <w:sz w:val="22"/>
          <w:szCs w:val="22"/>
        </w:rPr>
        <w:t xml:space="preserve">contract_rate_config_cache:{tenant_id}: </w:t>
      </w:r>
      <w:r>
        <w:rPr>
          <w:rFonts w:ascii="Arial" w:cs="Arial" w:eastAsia="Arial" w:hAnsi="Arial"/>
          <w:color w:val="1E293B"/>
          <w:sz w:val="22"/>
          <w:szCs w:val="22"/>
        </w:rPr>
        <w:t xml:space="preserve">Cached royalty rate config (TTL: 10 min) to avoid repeated PostgreSQL reads during high-volume contract creation periods.</w:t>
      </w:r>
    </w:p>
    <w:p>
      <w:pPr>
        <w:pStyle w:val="ListParagraph"/>
        <w:numPr>
          <w:ilvl w:val="0"/>
          <w:numId w:val="2"/>
        </w:numPr>
        <w:spacing w:before="60" w:after="60"/>
      </w:pPr>
      <w:r>
        <w:rPr>
          <w:rFonts w:ascii="Arial" w:cs="Arial" w:eastAsia="Arial" w:hAnsi="Arial"/>
          <w:b/>
          <w:bCs/>
          <w:color w:val="4C1D95"/>
          <w:sz w:val="22"/>
          <w:szCs w:val="22"/>
        </w:rPr>
        <w:t xml:space="preserve">contract_lock:{contract_id}: </w:t>
      </w:r>
      <w:r>
        <w:rPr>
          <w:rFonts w:ascii="Arial" w:cs="Arial" w:eastAsia="Arial" w:hAnsi="Arial"/>
          <w:color w:val="1E293B"/>
          <w:sz w:val="22"/>
          <w:szCs w:val="22"/>
        </w:rPr>
        <w:t xml:space="preserve">Advisory lock key (SET NX EX, TTL: 30s) to prevent concurrent amendment/termination race conditions on the same contract.</w:t>
      </w:r>
    </w:p>
    <w:p>
      <w:pPr>
        <w:pStyle w:val="ListParagraph"/>
        <w:numPr>
          <w:ilvl w:val="0"/>
          <w:numId w:val="2"/>
        </w:numPr>
        <w:spacing w:before="60" w:after="60"/>
      </w:pPr>
      <w:r>
        <w:rPr>
          <w:rFonts w:ascii="Arial" w:cs="Arial" w:eastAsia="Arial" w:hAnsi="Arial"/>
          <w:b/>
          <w:bCs/>
          <w:color w:val="4C1D95"/>
          <w:sz w:val="22"/>
          <w:szCs w:val="22"/>
        </w:rPr>
        <w:t xml:space="preserve">minor_flag_cache:{candidate_id}: </w:t>
      </w:r>
      <w:r>
        <w:rPr>
          <w:rFonts w:ascii="Arial" w:cs="Arial" w:eastAsia="Arial" w:hAnsi="Arial"/>
          <w:color w:val="1E293B"/>
          <w:sz w:val="22"/>
          <w:szCs w:val="22"/>
        </w:rPr>
        <w:t xml:space="preserve">Cached minor status flag (TTL: 1 hour) sourced from user-service — used to gate guardian consent requirement without per-request HTTP calls.</w:t>
      </w:r>
    </w:p>
    <w:p>
      <w:pPr>
        <w:pStyle w:val="Heading1"/>
        <w:pBdr>
          <w:bottom w:val="single" w:color="4C1D95" w:sz="4" w:space="4"/>
        </w:pBdr>
        <w:spacing w:before="360" w:after="160"/>
      </w:pPr>
      <w:r>
        <w:rPr>
          <w:rFonts w:ascii="Arial" w:cs="Arial" w:eastAsia="Arial" w:hAnsi="Arial"/>
          <w:b/>
          <w:bCs/>
          <w:color w:val="4C1D95"/>
          <w:sz w:val="30"/>
          <w:szCs w:val="30"/>
        </w:rPr>
        <w:t xml:space="preserve">6. Outputs</w:t>
      </w:r>
    </w:p>
    <w:p>
      <w:pPr>
        <w:spacing w:before="80" w:after="100"/>
      </w:pPr>
      <w:r>
        <w:rPr>
          <w:rFonts w:ascii="Arial" w:cs="Arial" w:eastAsia="Arial" w:hAnsi="Arial"/>
          <w:color w:val="1E293B"/>
          <w:sz w:val="22"/>
          <w:szCs w:val="22"/>
        </w:rPr>
        <w:t xml:space="preserve">The service produces outputs across Kafka (async events), REST responses (synchronous), PostgreSQL writes (persistent records), ClickHouse writes (immutable audit), and archival triggers (MinIO WORM storage).</w:t>
      </w:r>
    </w:p>
    <w:p>
      <w:pPr>
        <w:spacing w:before="40" w:after="40"/>
      </w:pPr>
    </w:p>
    <w:p>
      <w:pPr>
        <w:pStyle w:val="Heading2"/>
        <w:spacing w:before="280" w:after="100"/>
      </w:pPr>
      <w:r>
        <w:rPr>
          <w:rFonts w:ascii="Arial" w:cs="Arial" w:eastAsia="Arial" w:hAnsi="Arial"/>
          <w:b/>
          <w:bCs/>
          <w:color w:val="0D7A5F"/>
          <w:sz w:val="24"/>
          <w:szCs w:val="24"/>
        </w:rPr>
        <w:t xml:space="preserve">6.1 Kafka Events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000"/>
        <w:gridCol w:w="1360"/>
      </w:tblGrid>
      <w:tr>
        <w:trPr>
          <w:tblHeader/>
        </w:trPr>
        <w:tc>
          <w:tcPr>
            <w:tcW w:type="dxa" w:w="24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Event Topic</w:t>
            </w:r>
          </w:p>
        </w:tc>
        <w:tc>
          <w:tcPr>
            <w:tcW w:type="dxa" w:w="26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Consumer(s)</w:t>
            </w:r>
          </w:p>
        </w:tc>
        <w:tc>
          <w:tcPr>
            <w:tcW w:type="dxa" w:w="30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Key Payload Fields</w:t>
            </w:r>
          </w:p>
        </w:tc>
        <w:tc>
          <w:tcPr>
            <w:tcW w:type="dxa" w:w="136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Partitions</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licensing.contract.signed</w:t>
            </w:r>
          </w:p>
        </w:tc>
        <w:tc>
          <w:tcPr>
            <w:tcW w:type="dxa" w:w="26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Royalty Accounting Engine, Royalty Wallet Service, analytics-service, notification-service</w:t>
            </w:r>
          </w:p>
        </w:tc>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contract_id, idea_id, idea_owner_candidate_id, licensee_business_id, tenant_id, royalty_rate, term_years, contract_start_date, contract_end_date, archive_url, signed_at</w:t>
            </w:r>
          </w:p>
        </w:tc>
        <w:tc>
          <w:tcPr>
            <w:tcW w:type="dxa" w:w="1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6</w:t>
            </w:r>
          </w:p>
        </w:tc>
      </w:tr>
      <w:tr>
        <w:tc>
          <w:tcPr>
            <w:tcW w:type="dxa" w:w="24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licensing.contract.amended</w:t>
            </w:r>
          </w:p>
        </w:tc>
        <w:tc>
          <w:tcPr>
            <w:tcW w:type="dxa" w:w="26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Royalty Accounting Engine, analytics-service, notification-service</w:t>
            </w:r>
          </w:p>
        </w:tc>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contract_id, version_number, amended_fields[], amendment_reason, amended_at, new_royalty_rate?, new_term_end_date?</w:t>
            </w:r>
          </w:p>
        </w:tc>
        <w:tc>
          <w:tcPr>
            <w:tcW w:type="dxa" w:w="1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licensing.contract.terminated</w:t>
            </w:r>
          </w:p>
        </w:tc>
        <w:tc>
          <w:tcPr>
            <w:tcW w:type="dxa" w:w="26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Royalty Wallet Service, Royalty Accounting Engine, analytics-service, notification-service</w:t>
            </w:r>
          </w:p>
        </w:tc>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contract_id, idea_id, tenant_id, terminating_party_id, termination_reason, effective_date, final_royalty_period_end</w:t>
            </w:r>
          </w:p>
        </w:tc>
        <w:tc>
          <w:tcPr>
            <w:tcW w:type="dxa" w:w="1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licensing.contract.signature.timeout</w:t>
            </w:r>
          </w:p>
        </w:tc>
        <w:tc>
          <w:tcPr>
            <w:tcW w:type="dxa" w:w="26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notification-service, admin-service</w:t>
            </w:r>
          </w:p>
        </w:tc>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contract_id, pending_signatories[], timeout_at, contract_state_reverted_to</w:t>
            </w:r>
          </w:p>
        </w:tc>
        <w:tc>
          <w:tcPr>
            <w:tcW w:type="dxa" w:w="1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licensing.ownership.transferred</w:t>
            </w:r>
          </w:p>
        </w:tc>
        <w:tc>
          <w:tcPr>
            <w:tcW w:type="dxa" w:w="26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Innovation Trust Governance Service, notification-service, user-service</w:t>
            </w:r>
          </w:p>
        </w:tc>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contract_id, candidate_id, previous_guardian_id, transfer_effective_date, new_contract_version</w:t>
            </w:r>
          </w:p>
        </w:tc>
        <w:tc>
          <w:tcPr>
            <w:tcW w:type="dxa" w:w="1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document.generation.requested</w:t>
            </w:r>
          </w:p>
        </w:tc>
        <w:tc>
          <w:tcPr>
            <w:tcW w:type="dxa" w:w="26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Legal Document Generation Service</w:t>
            </w:r>
          </w:p>
        </w:tc>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contract_id, tenant_id, contract_data_json (rate, term, parties, scope, clauses), template_version</w:t>
            </w:r>
          </w:p>
        </w:tc>
        <w:tc>
          <w:tcPr>
            <w:tcW w:type="dxa" w:w="1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signature.requested</w:t>
            </w:r>
          </w:p>
        </w:tc>
        <w:tc>
          <w:tcPr>
            <w:tcW w:type="dxa" w:w="26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Digital Signature Service</w:t>
            </w:r>
          </w:p>
        </w:tc>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contract_id, document_url, signatories[]: { signer_id, signer_role, keycloak_user_id }, signature_deadline</w:t>
            </w:r>
          </w:p>
        </w:tc>
        <w:tc>
          <w:tcPr>
            <w:tcW w:type="dxa" w:w="1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archive.requested</w:t>
            </w:r>
          </w:p>
        </w:tc>
        <w:tc>
          <w:tcPr>
            <w:tcW w:type="dxa" w:w="26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Immutable Archive Service</w:t>
            </w:r>
          </w:p>
        </w:tc>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contract_id, document_url, tenant_id, retention_years: 15, object_lock_mode: GOVERNANCE</w:t>
            </w:r>
          </w:p>
        </w:tc>
        <w:tc>
          <w:tcPr>
            <w:tcW w:type="dxa" w:w="1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w:t>
            </w:r>
          </w:p>
        </w:tc>
      </w:tr>
    </w:tbl>
    <w:p>
      <w:pPr>
        <w:spacing w:before="40" w:after="40"/>
      </w:pPr>
    </w:p>
    <w:p>
      <w:pPr>
        <w:pStyle w:val="Heading2"/>
        <w:spacing w:before="280" w:after="100"/>
      </w:pPr>
      <w:r>
        <w:rPr>
          <w:rFonts w:ascii="Arial" w:cs="Arial" w:eastAsia="Arial" w:hAnsi="Arial"/>
          <w:b/>
          <w:bCs/>
          <w:color w:val="0D7A5F"/>
          <w:sz w:val="24"/>
          <w:szCs w:val="24"/>
        </w:rPr>
        <w:t xml:space="preserve">6.2 REST API Responses</w:t>
      </w:r>
    </w:p>
    <w:p>
      <w:pPr>
        <w:pStyle w:val="ListParagraph"/>
        <w:numPr>
          <w:ilvl w:val="0"/>
          <w:numId w:val="2"/>
        </w:numPr>
        <w:spacing w:before="60" w:after="60"/>
      </w:pPr>
      <w:r>
        <w:rPr>
          <w:rFonts w:ascii="Arial" w:cs="Arial" w:eastAsia="Arial" w:hAnsi="Arial"/>
          <w:b/>
          <w:bCs/>
          <w:color w:val="4C1D95"/>
          <w:sz w:val="22"/>
          <w:szCs w:val="22"/>
        </w:rPr>
        <w:t xml:space="preserve">POST /api/v1/contracts → 201 Created: </w:t>
      </w:r>
      <w:r>
        <w:rPr>
          <w:rFonts w:ascii="Arial" w:cs="Arial" w:eastAsia="Arial" w:hAnsi="Arial"/>
          <w:color w:val="1E293B"/>
          <w:sz w:val="22"/>
          <w:szCs w:val="22"/>
        </w:rPr>
        <w:t xml:space="preserve">{ contract_id, status: DRAFT, idea_id, licensee_business_id, royalty_rate, term_years, created_at, document_generation_status: PENDING }</w:t>
      </w:r>
    </w:p>
    <w:p>
      <w:pPr>
        <w:pStyle w:val="ListParagraph"/>
        <w:numPr>
          <w:ilvl w:val="0"/>
          <w:numId w:val="2"/>
        </w:numPr>
        <w:spacing w:before="60" w:after="60"/>
      </w:pPr>
      <w:r>
        <w:rPr>
          <w:rFonts w:ascii="Arial" w:cs="Arial" w:eastAsia="Arial" w:hAnsi="Arial"/>
          <w:b/>
          <w:bCs/>
          <w:color w:val="4C1D95"/>
          <w:sz w:val="22"/>
          <w:szCs w:val="22"/>
        </w:rPr>
        <w:t xml:space="preserve">PATCH /api/v1/contracts/:id/state → 200 OK: </w:t>
      </w:r>
      <w:r>
        <w:rPr>
          <w:rFonts w:ascii="Arial" w:cs="Arial" w:eastAsia="Arial" w:hAnsi="Arial"/>
          <w:color w:val="1E293B"/>
          <w:sz w:val="22"/>
          <w:szCs w:val="22"/>
        </w:rPr>
        <w:t xml:space="preserve">{ contract_id, previous_state, new_state, transitioned_at, next_required_action }</w:t>
      </w:r>
    </w:p>
    <w:p>
      <w:pPr>
        <w:pStyle w:val="ListParagraph"/>
        <w:numPr>
          <w:ilvl w:val="0"/>
          <w:numId w:val="2"/>
        </w:numPr>
        <w:spacing w:before="60" w:after="60"/>
      </w:pPr>
      <w:r>
        <w:rPr>
          <w:rFonts w:ascii="Arial" w:cs="Arial" w:eastAsia="Arial" w:hAnsi="Arial"/>
          <w:b/>
          <w:bCs/>
          <w:color w:val="4C1D95"/>
          <w:sz w:val="22"/>
          <w:szCs w:val="22"/>
        </w:rPr>
        <w:t xml:space="preserve">GET /api/v1/contracts/:id → 200 OK: </w:t>
      </w:r>
      <w:r>
        <w:rPr>
          <w:rFonts w:ascii="Arial" w:cs="Arial" w:eastAsia="Arial" w:hAnsi="Arial"/>
          <w:color w:val="1E293B"/>
          <w:sz w:val="22"/>
          <w:szCs w:val="22"/>
        </w:rPr>
        <w:t xml:space="preserve">{ contract_id, current_state, version_number, royalty_rate, term_years, parties: { candidate, business }, signature_status: { per_party }, archive_url (pre-signed, 15 min TTL), created_at, signed_at? }</w:t>
      </w:r>
    </w:p>
    <w:p>
      <w:pPr>
        <w:pStyle w:val="ListParagraph"/>
        <w:numPr>
          <w:ilvl w:val="0"/>
          <w:numId w:val="2"/>
        </w:numPr>
        <w:spacing w:before="60" w:after="60"/>
      </w:pPr>
      <w:r>
        <w:rPr>
          <w:rFonts w:ascii="Arial" w:cs="Arial" w:eastAsia="Arial" w:hAnsi="Arial"/>
          <w:b/>
          <w:bCs/>
          <w:color w:val="4C1D95"/>
          <w:sz w:val="22"/>
          <w:szCs w:val="22"/>
        </w:rPr>
        <w:t xml:space="preserve">POST /api/v1/contracts/:id/terminate → 202 Accepted: </w:t>
      </w:r>
      <w:r>
        <w:rPr>
          <w:rFonts w:ascii="Arial" w:cs="Arial" w:eastAsia="Arial" w:hAnsi="Arial"/>
          <w:color w:val="1E293B"/>
          <w:sz w:val="22"/>
          <w:szCs w:val="22"/>
        </w:rPr>
        <w:t xml:space="preserve">{ contract_id, termination_status: PENDING_COMPLIANCE_CHECK, estimated_resolution_ts }. Final termination event emitted asynchronously after Royalty Audit compliance check.</w:t>
      </w:r>
    </w:p>
    <w:p>
      <w:pPr>
        <w:spacing w:before="40" w:after="40"/>
      </w:pPr>
    </w:p>
    <w:p>
      <w:pPr>
        <w:pStyle w:val="Heading2"/>
        <w:spacing w:before="280" w:after="100"/>
      </w:pPr>
      <w:r>
        <w:rPr>
          <w:rFonts w:ascii="Arial" w:cs="Arial" w:eastAsia="Arial" w:hAnsi="Arial"/>
          <w:b/>
          <w:bCs/>
          <w:color w:val="0D7A5F"/>
          <w:sz w:val="24"/>
          <w:szCs w:val="24"/>
        </w:rPr>
        <w:t xml:space="preserve">6.3 PostgreSQL Writes</w:t>
      </w:r>
    </w:p>
    <w:p>
      <w:pPr>
        <w:pStyle w:val="ListParagraph"/>
        <w:numPr>
          <w:ilvl w:val="0"/>
          <w:numId w:val="2"/>
        </w:numPr>
        <w:spacing w:before="60" w:after="60"/>
      </w:pPr>
      <w:r>
        <w:rPr>
          <w:rFonts w:ascii="Arial" w:cs="Arial" w:eastAsia="Arial" w:hAnsi="Arial"/>
          <w:b/>
          <w:bCs/>
          <w:color w:val="4C1D95"/>
          <w:sz w:val="22"/>
          <w:szCs w:val="22"/>
        </w:rPr>
        <w:t xml:space="preserve">royalty.contracts: </w:t>
      </w:r>
      <w:r>
        <w:rPr>
          <w:rFonts w:ascii="Arial" w:cs="Arial" w:eastAsia="Arial" w:hAnsi="Arial"/>
          <w:color w:val="1E293B"/>
          <w:sz w:val="22"/>
          <w:szCs w:val="22"/>
        </w:rPr>
        <w:t xml:space="preserve">Live contract record: contract_id, idea_id, idea_owner_candidate_id, licensee_business_id, tenant_id, royalty_rate, term_years, territorial_scope, usage_scope, contract_status, current_version, document_url, archive_url, consent_reference_id, gstin, created_at, signed_at, terminated_at.</w:t>
      </w:r>
    </w:p>
    <w:p>
      <w:pPr>
        <w:pStyle w:val="ListParagraph"/>
        <w:numPr>
          <w:ilvl w:val="0"/>
          <w:numId w:val="2"/>
        </w:numPr>
        <w:spacing w:before="60" w:after="60"/>
      </w:pPr>
      <w:r>
        <w:rPr>
          <w:rFonts w:ascii="Arial" w:cs="Arial" w:eastAsia="Arial" w:hAnsi="Arial"/>
          <w:b/>
          <w:bCs/>
          <w:color w:val="4C1D95"/>
          <w:sz w:val="22"/>
          <w:szCs w:val="22"/>
        </w:rPr>
        <w:t xml:space="preserve">royalty.contract_versions: </w:t>
      </w:r>
      <w:r>
        <w:rPr>
          <w:rFonts w:ascii="Arial" w:cs="Arial" w:eastAsia="Arial" w:hAnsi="Arial"/>
          <w:color w:val="1E293B"/>
          <w:sz w:val="22"/>
          <w:szCs w:val="22"/>
        </w:rPr>
        <w:t xml:space="preserve">Immutable version rows written on every state transition and amendment: version_number, contract_id, state, full_contract_snapshot_json, changed_by, change_reason, created_at.</w:t>
      </w:r>
    </w:p>
    <w:p>
      <w:pPr>
        <w:pStyle w:val="ListParagraph"/>
        <w:numPr>
          <w:ilvl w:val="0"/>
          <w:numId w:val="2"/>
        </w:numPr>
        <w:spacing w:before="60" w:after="60"/>
      </w:pPr>
      <w:r>
        <w:rPr>
          <w:rFonts w:ascii="Arial" w:cs="Arial" w:eastAsia="Arial" w:hAnsi="Arial"/>
          <w:b/>
          <w:bCs/>
          <w:color w:val="4C1D95"/>
          <w:sz w:val="22"/>
          <w:szCs w:val="22"/>
        </w:rPr>
        <w:t xml:space="preserve">royalty.contract_signatures: </w:t>
      </w:r>
      <w:r>
        <w:rPr>
          <w:rFonts w:ascii="Arial" w:cs="Arial" w:eastAsia="Arial" w:hAnsi="Arial"/>
          <w:color w:val="1E293B"/>
          <w:sz w:val="22"/>
          <w:szCs w:val="22"/>
        </w:rPr>
        <w:t xml:space="preserve">Per-party signature tracking: contract_id, version_number, signer_id, signer_role, signature_hash, signed_at, signature_status (PENDING | SIGNED | TIMED_OUT).</w:t>
      </w:r>
    </w:p>
    <w:p>
      <w:pPr>
        <w:spacing w:before="40" w:after="40"/>
      </w:pPr>
    </w:p>
    <w:p>
      <w:pPr>
        <w:pStyle w:val="Heading2"/>
        <w:spacing w:before="280" w:after="100"/>
      </w:pPr>
      <w:r>
        <w:rPr>
          <w:rFonts w:ascii="Arial" w:cs="Arial" w:eastAsia="Arial" w:hAnsi="Arial"/>
          <w:b/>
          <w:bCs/>
          <w:color w:val="0D7A5F"/>
          <w:sz w:val="24"/>
          <w:szCs w:val="24"/>
        </w:rPr>
        <w:t xml:space="preserve">6.4 ClickHouse Writes (Audit)</w:t>
      </w:r>
    </w:p>
    <w:p>
      <w:pPr>
        <w:pStyle w:val="ListParagraph"/>
        <w:numPr>
          <w:ilvl w:val="0"/>
          <w:numId w:val="2"/>
        </w:numPr>
        <w:spacing w:before="60" w:after="60"/>
      </w:pPr>
      <w:r>
        <w:rPr>
          <w:rFonts w:ascii="Arial" w:cs="Arial" w:eastAsia="Arial" w:hAnsi="Arial"/>
          <w:b/>
          <w:bCs/>
          <w:color w:val="4C1D95"/>
          <w:sz w:val="22"/>
          <w:szCs w:val="22"/>
        </w:rPr>
        <w:t xml:space="preserve">royalty_audit_log: </w:t>
      </w:r>
      <w:r>
        <w:rPr>
          <w:rFonts w:ascii="Arial" w:cs="Arial" w:eastAsia="Arial" w:hAnsi="Arial"/>
          <w:color w:val="1E293B"/>
          <w:sz w:val="22"/>
          <w:szCs w:val="22"/>
        </w:rPr>
        <w:t xml:space="preserve">Immutable event log: contract_id, tenant_id, actor_id, action (CONTRACT_CREATED | STATE_TRANSITIONED | AMENDED | SIGNED | TERMINATED | ARCHIVED), previous_state, new_state, metadata_json, event_ts. Consumed by Royalty Audit &amp; Compliance Service for minimum royalty clause checks and revenue anomaly auditing.</w:t>
      </w:r>
    </w:p>
    <w:p>
      <w:pPr>
        <w:pStyle w:val="Heading1"/>
        <w:pBdr>
          <w:bottom w:val="single" w:color="4C1D95" w:sz="4" w:space="4"/>
        </w:pBdr>
        <w:spacing w:before="360" w:after="160"/>
      </w:pPr>
      <w:r>
        <w:rPr>
          <w:rFonts w:ascii="Arial" w:cs="Arial" w:eastAsia="Arial" w:hAnsi="Arial"/>
          <w:b/>
          <w:bCs/>
          <w:color w:val="4C1D95"/>
          <w:sz w:val="30"/>
          <w:szCs w:val="30"/>
        </w:rPr>
        <w:t xml:space="preserve">7. Dependencies</w:t>
      </w:r>
    </w:p>
    <w:p>
      <w:pPr>
        <w:spacing w:before="80" w:after="100"/>
      </w:pPr>
      <w:r>
        <w:rPr>
          <w:rFonts w:ascii="Arial" w:cs="Arial" w:eastAsia="Arial" w:hAnsi="Arial"/>
          <w:color w:val="1E293B"/>
          <w:sz w:val="22"/>
          <w:szCs w:val="22"/>
        </w:rPr>
        <w:t xml:space="preserve">The licensing-contract-service depends on the following Ecoskiller services and infrastructure components.</w:t>
      </w:r>
    </w:p>
    <w:p>
      <w:pPr>
        <w:spacing w:before="40" w:after="40"/>
      </w:pPr>
    </w:p>
    <w:p>
      <w:pPr>
        <w:pStyle w:val="Heading2"/>
        <w:spacing w:before="280" w:after="100"/>
      </w:pPr>
      <w:r>
        <w:rPr>
          <w:rFonts w:ascii="Arial" w:cs="Arial" w:eastAsia="Arial" w:hAnsi="Arial"/>
          <w:b/>
          <w:bCs/>
          <w:color w:val="0D7A5F"/>
          <w:sz w:val="24"/>
          <w:szCs w:val="24"/>
        </w:rPr>
        <w:t xml:space="preserve">7.1 Upstream Service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Service / Module</w:t>
            </w:r>
          </w:p>
        </w:tc>
        <w:tc>
          <w:tcPr>
            <w:tcW w:type="dxa" w:w="18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Dependency Type</w:t>
            </w:r>
          </w:p>
        </w:tc>
        <w:tc>
          <w:tcPr>
            <w:tcW w:type="dxa" w:w="30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Purpose</w:t>
            </w:r>
          </w:p>
        </w:tc>
        <w:tc>
          <w:tcPr>
            <w:tcW w:type="dxa" w:w="256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Failure Impact</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Idea Marketplace Service (XII)</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 consumer (idea.marketplace.license.intent)</w:t>
            </w:r>
          </w:p>
        </w:tc>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Licensing intent trigger — provides idea_id, candidate_id, business_id, and proposed contract terms</w:t>
            </w:r>
          </w:p>
        </w:tc>
        <w:tc>
          <w:tcPr>
            <w:tcW w:type="dxa" w:w="2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 new contracts initiated; existing ACTIVE contracts unaffected</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Legal Document Generation Service (Section 22)</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Kafka async (document.generation.requested → document.generated)</w:t>
            </w:r>
          </w:p>
        </w:tc>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Generates GST-compliant PDF contract from template. Service cannot proceed to PENDING_SIGNATURE without a generated document</w:t>
            </w:r>
          </w:p>
        </w:tc>
        <w:tc>
          <w:tcPr>
            <w:tcW w:type="dxa" w:w="2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CONTRACT stuck in DRAFT; signature flow blocked</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Digital Signature Service (Section 22)</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 async (signature.requested → document.signed)</w:t>
            </w:r>
          </w:p>
        </w:tc>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Executes legally valid digital signatures from all parties. ACTIVE state requires all-party signature</w:t>
            </w:r>
          </w:p>
        </w:tc>
        <w:tc>
          <w:tcPr>
            <w:tcW w:type="dxa" w:w="2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CONTRACT stuck in PENDING_SIGNATURE; royalty pipeline blocked</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Innovation Trust Governance Service (XIII)</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Kafka async (consent.approved) + REST validation</w:t>
            </w:r>
          </w:p>
        </w:tc>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Provides minor candidate guardian approval gate. Without consent, minor's contracts cannot advance from DRAFT</w:t>
            </w:r>
          </w:p>
        </w:tc>
        <w:tc>
          <w:tcPr>
            <w:tcW w:type="dxa" w:w="2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Minor candidate contracts blocked at DRAFT</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Royalty Audit &amp; Compliance Service (XIII)</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REST (internal) — termination validation</w:t>
            </w:r>
          </w:p>
        </w:tc>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Validates that minimum royalty obligations are met before permitting early termination</w:t>
            </w:r>
          </w:p>
        </w:tc>
        <w:tc>
          <w:tcPr>
            <w:tcW w:type="dxa" w:w="2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Termination requests held pending; ACTIVE contracts protected</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user-service</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REST (internal) — minor flag check</w:t>
            </w:r>
          </w:p>
        </w:tc>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Validates candidate age flag for minor detection. Provides identity metadata for contract party records</w:t>
            </w:r>
          </w:p>
        </w:tc>
        <w:tc>
          <w:tcPr>
            <w:tcW w:type="dxa" w:w="2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Minor safeguard falls back to Redis cache; cache miss triggers conservative block</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Keycloak (auth-service)</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JWT validation on all REST endpoints</w:t>
            </w:r>
          </w:p>
        </w:tc>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Authenticates all API calls; validates signer identity for signature routing; enforces RBAC roles</w:t>
            </w:r>
          </w:p>
        </w:tc>
        <w:tc>
          <w:tcPr>
            <w:tcW w:type="dxa" w:w="2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CRITICAL — all REST API calls fail without valid JWT</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Apache Airflow</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Scheduled trigger (licensing.ownership.transfer.due)</w:t>
            </w:r>
          </w:p>
        </w:tc>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Fires scheduled Kafka event on candidate 18th birthday for minor ownership transfer flow</w:t>
            </w:r>
          </w:p>
        </w:tc>
        <w:tc>
          <w:tcPr>
            <w:tcW w:type="dxa" w:w="2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Transfer delayed until Airflow recovers; no data loss</w:t>
            </w:r>
          </w:p>
        </w:tc>
      </w:tr>
    </w:tbl>
    <w:p>
      <w:pPr>
        <w:spacing w:before="40" w:after="40"/>
      </w:pPr>
    </w:p>
    <w:p>
      <w:pPr>
        <w:pStyle w:val="Heading2"/>
        <w:spacing w:before="280" w:after="100"/>
      </w:pPr>
      <w:r>
        <w:rPr>
          <w:rFonts w:ascii="Arial" w:cs="Arial" w:eastAsia="Arial" w:hAnsi="Arial"/>
          <w:b/>
          <w:bCs/>
          <w:color w:val="0D7A5F"/>
          <w:sz w:val="24"/>
          <w:szCs w:val="24"/>
        </w:rPr>
        <w:t xml:space="preserve">7.2 Infrastructure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200"/>
        <w:gridCol w:w="3460"/>
      </w:tblGrid>
      <w:tr>
        <w:trPr>
          <w:tblHeader/>
        </w:trPr>
        <w:tc>
          <w:tcPr>
            <w:tcW w:type="dxa" w:w="18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Component</w:t>
            </w:r>
          </w:p>
        </w:tc>
        <w:tc>
          <w:tcPr>
            <w:tcW w:type="dxa" w:w="9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Version</w:t>
            </w:r>
          </w:p>
        </w:tc>
        <w:tc>
          <w:tcPr>
            <w:tcW w:type="dxa" w:w="32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Role</w:t>
            </w:r>
          </w:p>
        </w:tc>
        <w:tc>
          <w:tcPr>
            <w:tcW w:type="dxa" w:w="346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Failure Impact</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Apache Kafka</w:t>
            </w:r>
          </w:p>
        </w:tc>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3.7.0</w:t>
            </w:r>
          </w:p>
        </w:tc>
        <w:tc>
          <w:tcPr>
            <w:tcW w:type="dxa" w:w="3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Primary event bus — consumes licensing intents, document/signature events; publishes contract lifecycle events downstream</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CRITICAL — no new contract triggers; downstream royalty pipeline stalled</w:t>
            </w:r>
          </w:p>
        </w:tc>
      </w:tr>
      <w:tr>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PostgreSQL</w:t>
            </w:r>
          </w:p>
        </w:tc>
        <w:tc>
          <w:tcPr>
            <w:tcW w:type="dxa" w:w="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15</w:t>
            </w:r>
          </w:p>
        </w:tc>
        <w:tc>
          <w:tcPr>
            <w:tcW w:type="dxa" w:w="3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Sole persistent store for contract records, version history, signature status, and rate config. RLS enforces tenant isolation</w:t>
            </w:r>
          </w:p>
        </w:tc>
        <w:tc>
          <w:tcPr>
            <w:tcW w:type="dxa" w:w="34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CRITICAL — no contract reads or writes; service fully degraded</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w:t>
            </w:r>
          </w:p>
        </w:tc>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7.x</w:t>
            </w:r>
          </w:p>
        </w:tc>
        <w:tc>
          <w:tcPr>
            <w:tcW w:type="dxa" w:w="3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Advisory locks (SET NX EX) for concurrent amendment prevention; rate config cache; minor status cache</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MEDIUM — lock contention risk; falls back to PostgreSQL for config; minor cache miss triggers conservative block</w:t>
            </w:r>
          </w:p>
        </w:tc>
      </w:tr>
      <w:tr>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MinIO</w:t>
            </w:r>
          </w:p>
        </w:tc>
        <w:tc>
          <w:tcPr>
            <w:tcW w:type="dxa" w:w="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3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Stores signed contract PDFs in ecoskiller-royalty-contracts bucket with GOVERNANCE-mode Object Locking (15-year WORM retention). Signed document URLs served as pre-signed temporary links</w:t>
            </w:r>
          </w:p>
        </w:tc>
        <w:tc>
          <w:tcPr>
            <w:tcW w:type="dxa" w:w="34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HIGH — ACTIVE contract documents inaccessible; new document archival fails</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ClickHouse</w:t>
            </w:r>
          </w:p>
        </w:tc>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3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Immutable royalty_audit_log writes for compliance and Royalty Audit Service queries</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LOW — audit writes fail silently; re-synced by Airflow retention job</w:t>
            </w:r>
          </w:p>
        </w:tc>
      </w:tr>
      <w:tr>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Keycloak</w:t>
            </w:r>
          </w:p>
        </w:tc>
        <w:tc>
          <w:tcPr>
            <w:tcW w:type="dxa" w:w="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24.0</w:t>
            </w:r>
          </w:p>
        </w:tc>
        <w:tc>
          <w:tcPr>
            <w:tcW w:type="dxa" w:w="3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JWT auth on all API calls; signer identity verification for signature routing; RBAC for ecoskiller:licensing:* roles</w:t>
            </w:r>
          </w:p>
        </w:tc>
        <w:tc>
          <w:tcPr>
            <w:tcW w:type="dxa" w:w="34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CRITICAL — all API calls blocked without Keycloak</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Apicurio Schema Registry</w:t>
            </w:r>
          </w:p>
        </w:tc>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Self-hosted</w:t>
            </w:r>
          </w:p>
        </w:tc>
        <w:tc>
          <w:tcPr>
            <w:tcW w:type="dxa" w:w="3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Avro/JSON schema validation on all Kafka events consumed and published</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HIGH — schema enforcement bypassed; malformed contract events risk corrupting downstream royalty calculations</w:t>
            </w:r>
          </w:p>
        </w:tc>
      </w:tr>
      <w:tr>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(k3s)</w:t>
            </w:r>
          </w:p>
        </w:tc>
        <w:tc>
          <w:tcPr>
            <w:tcW w:type="dxa" w:w="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3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Pod scheduling, ConfigMaps (rate defaults, signature TTLs), Kubernetes Secrets (DB credentials, MinIO access keys, payment credential path secret/{env}/royalty)</w:t>
            </w:r>
          </w:p>
        </w:tc>
        <w:tc>
          <w:tcPr>
            <w:tcW w:type="dxa" w:w="34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CRITICAL — service unavailable without orchestration</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Helm</w:t>
            </w:r>
          </w:p>
        </w:tc>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v3.x</w:t>
            </w:r>
          </w:p>
        </w:tc>
        <w:tc>
          <w:tcPr>
            <w:tcW w:type="dxa" w:w="3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Deployment packaging — environment value overrides for rate config and compliance flags per environment (dev/test/stage/prod)</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Deployment only — no runtime impact</w:t>
            </w:r>
          </w:p>
        </w:tc>
      </w:tr>
    </w:tbl>
    <w:p>
      <w:pPr>
        <w:spacing w:before="40" w:after="40"/>
      </w:pPr>
    </w:p>
    <w:p>
      <w:pPr>
        <w:pStyle w:val="Heading2"/>
        <w:spacing w:before="280" w:after="100"/>
      </w:pPr>
      <w:r>
        <w:rPr>
          <w:rFonts w:ascii="Arial" w:cs="Arial" w:eastAsia="Arial" w:hAnsi="Arial"/>
          <w:b/>
          <w:bCs/>
          <w:color w:val="0D7A5F"/>
          <w:sz w:val="24"/>
          <w:szCs w:val="24"/>
        </w:rPr>
        <w:t xml:space="preserve">7.3 Downstream Dependents</w:t>
      </w:r>
    </w:p>
    <w:p>
      <w:pPr>
        <w:pStyle w:val="ListParagraph"/>
        <w:numPr>
          <w:ilvl w:val="0"/>
          <w:numId w:val="2"/>
        </w:numPr>
        <w:spacing w:before="60" w:after="60"/>
      </w:pPr>
      <w:r>
        <w:rPr>
          <w:rFonts w:ascii="Arial" w:cs="Arial" w:eastAsia="Arial" w:hAnsi="Arial"/>
          <w:b/>
          <w:bCs/>
          <w:color w:val="4C1D95"/>
          <w:sz w:val="22"/>
          <w:szCs w:val="22"/>
        </w:rPr>
        <w:t xml:space="preserve">Royalty Accounting Engine (XIII): </w:t>
      </w:r>
      <w:r>
        <w:rPr>
          <w:rFonts w:ascii="Arial" w:cs="Arial" w:eastAsia="Arial" w:hAnsi="Arial"/>
          <w:color w:val="1E293B"/>
          <w:sz w:val="22"/>
          <w:szCs w:val="22"/>
        </w:rPr>
        <w:t xml:space="preserve">Consumes licensing.contract.signed to begin royalty calculation cycles. Cannot calculate royalties without an ACTIVE contract record from this service.</w:t>
      </w:r>
    </w:p>
    <w:p>
      <w:pPr>
        <w:pStyle w:val="ListParagraph"/>
        <w:numPr>
          <w:ilvl w:val="0"/>
          <w:numId w:val="2"/>
        </w:numPr>
        <w:spacing w:before="60" w:after="60"/>
      </w:pPr>
      <w:r>
        <w:rPr>
          <w:rFonts w:ascii="Arial" w:cs="Arial" w:eastAsia="Arial" w:hAnsi="Arial"/>
          <w:b/>
          <w:bCs/>
          <w:color w:val="4C1D95"/>
          <w:sz w:val="22"/>
          <w:szCs w:val="22"/>
        </w:rPr>
        <w:t xml:space="preserve">Royalty Wallet Service (XIII): </w:t>
      </w:r>
      <w:r>
        <w:rPr>
          <w:rFonts w:ascii="Arial" w:cs="Arial" w:eastAsia="Arial" w:hAnsi="Arial"/>
          <w:color w:val="1E293B"/>
          <w:sz w:val="22"/>
          <w:szCs w:val="22"/>
        </w:rPr>
        <w:t xml:space="preserve">Consumes licensing.contract.signed and licensing.contract.terminated to open/close candidate payout wallets for this contract.</w:t>
      </w:r>
    </w:p>
    <w:p>
      <w:pPr>
        <w:pStyle w:val="ListParagraph"/>
        <w:numPr>
          <w:ilvl w:val="0"/>
          <w:numId w:val="2"/>
        </w:numPr>
        <w:spacing w:before="60" w:after="60"/>
      </w:pPr>
      <w:r>
        <w:rPr>
          <w:rFonts w:ascii="Arial" w:cs="Arial" w:eastAsia="Arial" w:hAnsi="Arial"/>
          <w:b/>
          <w:bCs/>
          <w:color w:val="4C1D95"/>
          <w:sz w:val="22"/>
          <w:szCs w:val="22"/>
        </w:rPr>
        <w:t xml:space="preserve">Royalty Audit &amp; Compliance Service (XIII): </w:t>
      </w:r>
      <w:r>
        <w:rPr>
          <w:rFonts w:ascii="Arial" w:cs="Arial" w:eastAsia="Arial" w:hAnsi="Arial"/>
          <w:color w:val="1E293B"/>
          <w:sz w:val="22"/>
          <w:szCs w:val="22"/>
        </w:rPr>
        <w:t xml:space="preserve">Queries royalty.contracts and ClickHouse royalty_audit_log to enforce minimum royalty clauses, flag anomalies, and validate audit rights.</w:t>
      </w:r>
    </w:p>
    <w:p>
      <w:pPr>
        <w:pStyle w:val="ListParagraph"/>
        <w:numPr>
          <w:ilvl w:val="0"/>
          <w:numId w:val="2"/>
        </w:numPr>
        <w:spacing w:before="60" w:after="60"/>
      </w:pPr>
      <w:r>
        <w:rPr>
          <w:rFonts w:ascii="Arial" w:cs="Arial" w:eastAsia="Arial" w:hAnsi="Arial"/>
          <w:b/>
          <w:bCs/>
          <w:color w:val="4C1D95"/>
          <w:sz w:val="22"/>
          <w:szCs w:val="22"/>
        </w:rPr>
        <w:t xml:space="preserve">Immutable Archive Service (Section 22): </w:t>
      </w:r>
      <w:r>
        <w:rPr>
          <w:rFonts w:ascii="Arial" w:cs="Arial" w:eastAsia="Arial" w:hAnsi="Arial"/>
          <w:color w:val="1E293B"/>
          <w:sz w:val="22"/>
          <w:szCs w:val="22"/>
        </w:rPr>
        <w:t xml:space="preserve">Consumes archive.requested to execute WORM archival of signed contract PDFs in MinIO.</w:t>
      </w:r>
    </w:p>
    <w:p>
      <w:pPr>
        <w:pStyle w:val="ListParagraph"/>
        <w:numPr>
          <w:ilvl w:val="0"/>
          <w:numId w:val="2"/>
        </w:numPr>
        <w:spacing w:before="60" w:after="60"/>
      </w:pPr>
      <w:r>
        <w:rPr>
          <w:rFonts w:ascii="Arial" w:cs="Arial" w:eastAsia="Arial" w:hAnsi="Arial"/>
          <w:b/>
          <w:bCs/>
          <w:color w:val="4C1D95"/>
          <w:sz w:val="22"/>
          <w:szCs w:val="22"/>
        </w:rPr>
        <w:t xml:space="preserve">notification-service: </w:t>
      </w:r>
      <w:r>
        <w:rPr>
          <w:rFonts w:ascii="Arial" w:cs="Arial" w:eastAsia="Arial" w:hAnsi="Arial"/>
          <w:color w:val="1E293B"/>
          <w:sz w:val="22"/>
          <w:szCs w:val="22"/>
        </w:rPr>
        <w:t xml:space="preserve">Consumes contract lifecycle events (signed, amended, terminated, signature.timeout) to deliver multi-channel notifications to candidates and businesses.</w:t>
      </w:r>
    </w:p>
    <w:p>
      <w:pPr>
        <w:pStyle w:val="ListParagraph"/>
        <w:numPr>
          <w:ilvl w:val="0"/>
          <w:numId w:val="2"/>
        </w:numPr>
        <w:spacing w:before="60" w:after="60"/>
      </w:pPr>
      <w:r>
        <w:rPr>
          <w:rFonts w:ascii="Arial" w:cs="Arial" w:eastAsia="Arial" w:hAnsi="Arial"/>
          <w:b/>
          <w:bCs/>
          <w:color w:val="4C1D95"/>
          <w:sz w:val="22"/>
          <w:szCs w:val="22"/>
        </w:rPr>
        <w:t xml:space="preserve">analytics-service: </w:t>
      </w:r>
      <w:r>
        <w:rPr>
          <w:rFonts w:ascii="Arial" w:cs="Arial" w:eastAsia="Arial" w:hAnsi="Arial"/>
          <w:color w:val="1E293B"/>
          <w:sz w:val="22"/>
          <w:szCs w:val="22"/>
        </w:rPr>
        <w:t xml:space="preserve">Consumes licensing.contract.signed and amended/terminated events for platform-level IP monetisation dashboards and contract volume reporting.</w:t>
      </w:r>
    </w:p>
    <w:p>
      <w:pPr>
        <w:pStyle w:val="ListParagraph"/>
        <w:numPr>
          <w:ilvl w:val="0"/>
          <w:numId w:val="2"/>
        </w:numPr>
        <w:spacing w:before="60" w:after="60"/>
      </w:pPr>
      <w:r>
        <w:rPr>
          <w:rFonts w:ascii="Arial" w:cs="Arial" w:eastAsia="Arial" w:hAnsi="Arial"/>
          <w:b/>
          <w:bCs/>
          <w:color w:val="4C1D95"/>
          <w:sz w:val="22"/>
          <w:szCs w:val="22"/>
        </w:rPr>
        <w:t xml:space="preserve">billing-service: </w:t>
      </w:r>
      <w:r>
        <w:rPr>
          <w:rFonts w:ascii="Arial" w:cs="Arial" w:eastAsia="Arial" w:hAnsi="Arial"/>
          <w:color w:val="1E293B"/>
          <w:sz w:val="22"/>
          <w:szCs w:val="22"/>
        </w:rPr>
        <w:t xml:space="preserve">Uses contract GST fields (gstin, royalty_nature, hsn_sac_code) when generating GST-compliant royalty invoices triggered by Royalty Accounting Engine events.</w:t>
      </w:r>
    </w:p>
    <w:p>
      <w:pPr>
        <w:pStyle w:val="Heading1"/>
        <w:pBdr>
          <w:bottom w:val="single" w:color="4C1D95" w:sz="4" w:space="4"/>
        </w:pBdr>
        <w:spacing w:before="360" w:after="160"/>
      </w:pPr>
      <w:r>
        <w:rPr>
          <w:rFonts w:ascii="Arial" w:cs="Arial" w:eastAsia="Arial" w:hAnsi="Arial"/>
          <w:b/>
          <w:bCs/>
          <w:color w:val="4C1D95"/>
          <w:sz w:val="30"/>
          <w:szCs w:val="30"/>
        </w:rPr>
        <w:t xml:space="preserve">8.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Technology</w:t>
            </w:r>
          </w:p>
        </w:tc>
        <w:tc>
          <w:tcPr>
            <w:tcW w:type="dxa" w:w="10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Version</w:t>
            </w:r>
          </w:p>
        </w:tc>
        <w:tc>
          <w:tcPr>
            <w:tcW w:type="dxa" w:w="636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Role in This Service</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Node.js</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LTS v20.x</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Primary runtime — async event processing for Kafka consumers, REST API server, and contract state machine transitions</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Express.js</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4.x</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HTTP server for internal REST API: contract CRUD, state management, version history, termination endpoints</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KafkaJS</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2.x</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 consumer group management and event producer — contract lifecycle events in, document/signature status events out. DLQ routing on failure</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ioredis</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5.x</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Advisory distributed locking (SET NX EX), rate config cache, minor status cache reads</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pg (node-postgres)</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8.x</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PostgreSQL client — all contract, version, and signature record reads/writes with explicit tenant_id scoping</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Ajv (JSON Schema)</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8.x</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 request payload validation — royalty rate range enforcement, state transition rule validation, required field checks</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Apache Kafka</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3.7.0</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Event streaming backbone — decouples contract lifecycle from Legal Doc, Digital Sig, Royalty Accounting, and notification services</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PostgreSQL</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15</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Primary relational store — royalty.contracts, royalty.contract_versions, royalty.contract_signatures, royalty.platform_rate_config. Row-Level Security for multi-tenant isolation</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7.x</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Distributed advisory locks on contract_id, rate config cache (TTL: 10 min), minor status flag cache (TTL: 1 hr)</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MinIO</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Object storage for signed contract PDFs — ecoskiller-royalty-contracts-{tenant_id} bucket, GOVERNANCE-mode Object Lock, 15-year retention, SSE-S3 encryption. Pre-signed URL access only</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ClickHouse</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Columnar append target for immutable royalty_audit_log — all contract state events written on every transition for Royalty Audit Service compliance queries</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Keycloak</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24.0</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JWT validation on all API calls; RBAC role enforcement (ecoskiller:licensing:create, ecoskiller:licensing:admin, ecoskiller:viewer); minor candidate role identification</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Apicurio Schema Registry</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Self-hosted</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Avro/JSON schema validation for all Kafka events produced (licensing.contract.signed, etc.) and consumed</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Apache Airflow</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2.9.0</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Scheduled ownership transfer triggers on candidate age-18 milestone — fires licensing.ownership.transfer.due Kafka event. Not used for business logic, only time-triggered events</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Flyway</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Database schema migrations for royalty.* PostgreSQL schema tables — versioned SQL files run as Helm init containers on deployment</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(k3s)</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Container orchestration — HPA on REST API request rate; ConfigMaps for rate defaults and signature TTL; Kubernetes Secrets for PostgreSQL, Redis, MinIO, and Keycloak credentials (path: secret/{env}/royalty)</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Helm</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v3.x</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Deployment packaging — environment value overrides (rate ranges, term limits, compliance flags) per environment</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Docker</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Containerisation — image: ecoskiller/licensing-contract-service (~1.58 GB; alpine migration planned)</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Prometheus</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Metrics: contracts_created_total, contracts_active_gauge, signature_timeout_total, state_transition_latency_p95, kafka_consumer_lag</w:t>
            </w:r>
          </w:p>
        </w:tc>
      </w:tr>
      <w:tr>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OpenTelemetry / Jaeger</w:t>
            </w:r>
          </w:p>
        </w:tc>
        <w:tc>
          <w:tcPr>
            <w:tcW w:type="dxa" w:w="1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Distributed tracing — W3C TraceContext through Kafka headers and HTTP API calls for end-to-end trace from Idea Marketplace to signed contract</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GitLab CI (Self-Hosted)</w:t>
            </w:r>
          </w:p>
        </w:tc>
        <w:tc>
          <w:tcPr>
            <w:tcW w:type="dxa" w:w="1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CI/CD — build → Trivy vulnerability scan → dev/test/stage/prod deploy via Harbor registry</w:t>
            </w:r>
          </w:p>
        </w:tc>
      </w:tr>
    </w:tbl>
    <w:p>
      <w:pPr>
        <w:pStyle w:val="Heading1"/>
        <w:pBdr>
          <w:bottom w:val="single" w:color="4C1D95" w:sz="4" w:space="4"/>
        </w:pBdr>
        <w:spacing w:before="360" w:after="160"/>
      </w:pPr>
      <w:r>
        <w:rPr>
          <w:rFonts w:ascii="Arial" w:cs="Arial" w:eastAsia="Arial" w:hAnsi="Arial"/>
          <w:b/>
          <w:bCs/>
          <w:color w:val="4C1D95"/>
          <w:sz w:val="30"/>
          <w:szCs w:val="30"/>
        </w:rPr>
        <w:t xml:space="preserve">9. Business Value</w:t>
      </w:r>
    </w:p>
    <w:p>
      <w:pPr>
        <w:spacing w:before="80" w:after="100"/>
      </w:pPr>
      <w:r>
        <w:rPr>
          <w:rFonts w:ascii="Arial" w:cs="Arial" w:eastAsia="Arial" w:hAnsi="Arial"/>
          <w:color w:val="1E293B"/>
          <w:sz w:val="22"/>
          <w:szCs w:val="22"/>
        </w:rPr>
        <w:t xml:space="preserve">The licensing-contract-service is the legal and financial foundation of Ecoskiller's innovation monetisation capability — one of the platform's most differentiated features that extends its value proposition beyond standard ATS (Applicant Tracking System) functionality into a full intellectual property marketplace.</w:t>
      </w:r>
    </w:p>
    <w:p>
      <w:pPr>
        <w:spacing w:before="40" w:after="40"/>
      </w:pPr>
    </w:p>
    <w:p>
      <w:pPr>
        <w:pStyle w:val="Heading2"/>
        <w:spacing w:before="280" w:after="100"/>
      </w:pPr>
      <w:r>
        <w:rPr>
          <w:rFonts w:ascii="Arial" w:cs="Arial" w:eastAsia="Arial" w:hAnsi="Arial"/>
          <w:b/>
          <w:bCs/>
          <w:color w:val="0D7A5F"/>
          <w:sz w:val="24"/>
          <w:szCs w:val="24"/>
        </w:rPr>
        <w:t xml:space="preserve">9.1 Enables the Ecoskiller IP Marketplace Revenue Stream</w:t>
      </w:r>
    </w:p>
    <w:p>
      <w:pPr>
        <w:spacing w:before="80" w:after="100"/>
      </w:pPr>
      <w:r>
        <w:rPr>
          <w:rFonts w:ascii="Arial" w:cs="Arial" w:eastAsia="Arial" w:hAnsi="Arial"/>
          <w:color w:val="1E293B"/>
          <w:sz w:val="22"/>
          <w:szCs w:val="22"/>
        </w:rPr>
        <w:t xml:space="preserve">Without a legally enforceable contract engine, the Idea Marketplace (Module XII) is a discovery tool only — businesses can find candidate ideas but cannot license them within the platform. The licensing-contract-service transforms the marketplace from passive discovery into an active IP transaction platform. Every licensing.contract.signed event triggers royalty revenue for the idea-owning candidate and a usage fee event for billing-service, creating a new recurring revenue layer for Ecoskiller beyond one-time assessment fees.</w:t>
      </w:r>
    </w:p>
    <w:p>
      <w:pPr>
        <w:spacing w:before="40" w:after="40"/>
      </w:pPr>
    </w:p>
    <w:p>
      <w:pPr>
        <w:pStyle w:val="Heading2"/>
        <w:spacing w:before="280" w:after="100"/>
      </w:pPr>
      <w:r>
        <w:rPr>
          <w:rFonts w:ascii="Arial" w:cs="Arial" w:eastAsia="Arial" w:hAnsi="Arial"/>
          <w:b/>
          <w:bCs/>
          <w:color w:val="0D7A5F"/>
          <w:sz w:val="24"/>
          <w:szCs w:val="24"/>
        </w:rPr>
        <w:t xml:space="preserve">9.2 Downstream Pipeline Prerequisite</w:t>
      </w:r>
    </w:p>
    <w:p>
      <w:pPr>
        <w:spacing w:before="80" w:after="100"/>
      </w:pPr>
      <w:r>
        <w:rPr>
          <w:rFonts w:ascii="Arial" w:cs="Arial" w:eastAsia="Arial" w:hAnsi="Arial"/>
          <w:color w:val="1E293B"/>
          <w:sz w:val="22"/>
          <w:szCs w:val="22"/>
        </w:rPr>
        <w:t xml:space="preserve">The Royalty Accounting Engine, Royalty Wallet Service, and Royalty Audit &amp; Compliance Service — the three services that actually calculate, distribute, and audit royalty payments — all have a hard dependency on ACTIVE contract records from this service. Without a signed contract record specifying royalty_rate, term_years, and party identifiers, none of these services can function. The licensing-contract-service is therefore the entry gate to the entire financial royalty pipeline, and its reliability directly determines whether any candidate on the platform ever receives a royalty payment.</w:t>
      </w:r>
    </w:p>
    <w:p>
      <w:pPr>
        <w:spacing w:before="40" w:after="40"/>
      </w:pPr>
    </w:p>
    <w:p>
      <w:pPr>
        <w:pStyle w:val="Heading2"/>
        <w:spacing w:before="280" w:after="100"/>
      </w:pPr>
      <w:r>
        <w:rPr>
          <w:rFonts w:ascii="Arial" w:cs="Arial" w:eastAsia="Arial" w:hAnsi="Arial"/>
          <w:b/>
          <w:bCs/>
          <w:color w:val="0D7A5F"/>
          <w:sz w:val="24"/>
          <w:szCs w:val="24"/>
        </w:rPr>
        <w:t xml:space="preserve">9.3 Legal Enforceability &amp; Regulatory Compliance</w:t>
      </w:r>
    </w:p>
    <w:p>
      <w:pPr>
        <w:spacing w:before="80" w:after="100"/>
      </w:pPr>
      <w:r>
        <w:rPr>
          <w:rFonts w:ascii="Arial" w:cs="Arial" w:eastAsia="Arial" w:hAnsi="Arial"/>
          <w:color w:val="1E293B"/>
          <w:sz w:val="22"/>
          <w:szCs w:val="22"/>
        </w:rPr>
        <w:t xml:space="preserve">India's IT Act 2000 recognises electronically executed contracts as legally binding when signed by parties with verified digital identities. By routing all signatures through the Digital Signature Service (Keycloak-verified identity), enforcing 15-year WORM archival in MinIO, and maintaining ClickHouse audit trails, the licensing-contract-service ensures that every agreement executed on the Ecoskiller platform meets the legal standard for a binding commercial contract. This is non-negotiable for enterprise clients — a company cannot recognise royalty expense on its books without a legally valid contract document.</w:t>
      </w:r>
    </w:p>
    <w:p>
      <w:pPr>
        <w:spacing w:before="40" w:after="40"/>
      </w:pPr>
    </w:p>
    <w:p>
      <w:pPr>
        <w:pStyle w:val="Heading2"/>
        <w:spacing w:before="280" w:after="100"/>
      </w:pPr>
      <w:r>
        <w:rPr>
          <w:rFonts w:ascii="Arial" w:cs="Arial" w:eastAsia="Arial" w:hAnsi="Arial"/>
          <w:b/>
          <w:bCs/>
          <w:color w:val="0D7A5F"/>
          <w:sz w:val="24"/>
          <w:szCs w:val="24"/>
        </w:rPr>
        <w:t xml:space="preserve">9.4 Minor Candidate IP Protection at Scale</w:t>
      </w:r>
    </w:p>
    <w:p>
      <w:pPr>
        <w:spacing w:before="80" w:after="100"/>
      </w:pPr>
      <w:r>
        <w:rPr>
          <w:rFonts w:ascii="Arial" w:cs="Arial" w:eastAsia="Arial" w:hAnsi="Arial"/>
          <w:color w:val="1E293B"/>
          <w:sz w:val="22"/>
          <w:szCs w:val="22"/>
        </w:rPr>
        <w:t xml:space="preserve">A significant portion of Ecoskiller's target user base includes students and recent graduates who may be minors at the time of idea submission. Standard licensing platforms do not handle minor IP ownership, creating legal risk for both the platform and the businesses that license ideas from underage submitters. The licensing-contract-service's guardian consent gate and Airflow-triggered ownership transfer at age 18 make Ecoskiller legally compliant with Indian Contract Act Section 11 (competency to contract), protecting both candidates and the platform from voidable contract risk.</w:t>
      </w:r>
    </w:p>
    <w:p>
      <w:pPr>
        <w:spacing w:before="40" w:after="40"/>
      </w:pPr>
    </w:p>
    <w:p>
      <w:pPr>
        <w:pStyle w:val="Heading2"/>
        <w:spacing w:before="280" w:after="100"/>
      </w:pPr>
      <w:r>
        <w:rPr>
          <w:rFonts w:ascii="Arial" w:cs="Arial" w:eastAsia="Arial" w:hAnsi="Arial"/>
          <w:b/>
          <w:bCs/>
          <w:color w:val="0D7A5F"/>
          <w:sz w:val="24"/>
          <w:szCs w:val="24"/>
        </w:rPr>
        <w:t xml:space="preserve">9.5 GST and Financial Audit Readiness</w:t>
      </w:r>
    </w:p>
    <w:p>
      <w:pPr>
        <w:spacing w:before="80" w:after="100"/>
      </w:pPr>
      <w:r>
        <w:rPr>
          <w:rFonts w:ascii="Arial" w:cs="Arial" w:eastAsia="Arial" w:hAnsi="Arial"/>
          <w:color w:val="1E293B"/>
          <w:sz w:val="22"/>
          <w:szCs w:val="22"/>
        </w:rPr>
        <w:t xml:space="preserve">India's GST framework applies to IP licensing transactions — royalty payments are typically classified under SAC code 9973 (Transfer of the right to use any goods or IPR). The contract records maintained by this service include GSTIN, royalty_nature, and hsn_sac_code fields that billing-service uses to generate GST-compliant royalty invoices. Without these structured fields in the contract record, Ecoskiller cannot issue valid tax invoices for royalty transactions, exposing both the platform and its clients to GST compliance risk. The 15-year MinIO WORM retention also satisfies GST audit record retention requirements.</w:t>
      </w:r>
    </w:p>
    <w:p>
      <w:pPr>
        <w:spacing w:before="40" w:after="40"/>
      </w:pPr>
    </w:p>
    <w:p>
      <w:pPr>
        <w:pStyle w:val="Heading2"/>
        <w:spacing w:before="280" w:after="100"/>
      </w:pPr>
      <w:r>
        <w:rPr>
          <w:rFonts w:ascii="Arial" w:cs="Arial" w:eastAsia="Arial" w:hAnsi="Arial"/>
          <w:b/>
          <w:bCs/>
          <w:color w:val="0D7A5F"/>
          <w:sz w:val="24"/>
          <w:szCs w:val="24"/>
        </w:rPr>
        <w:t xml:space="preserve">9.6 Differentiated Platform Competitive Positioning</w:t>
      </w:r>
    </w:p>
    <w:p>
      <w:pPr>
        <w:spacing w:before="80" w:after="100"/>
      </w:pPr>
      <w:r>
        <w:rPr>
          <w:rFonts w:ascii="Arial" w:cs="Arial" w:eastAsia="Arial" w:hAnsi="Arial"/>
          <w:color w:val="1E293B"/>
          <w:sz w:val="22"/>
          <w:szCs w:val="22"/>
        </w:rPr>
        <w:t xml:space="preserve">No other AI-powered hiring assessment platform on the market provides a built-in, legally enforceable IP licensing and royalty engine for candidate ideas. This positions Ecoskiller not just as a hiring tool but as a candidate career and IP monetisation platform — increasing long-term candidate engagement, reducing candidate churn, and creating a moat against commoditised assessment-only competitors. The licensing-contract-service is the technical implementation that makes this differentiation real.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E8F5F1" w:val="clear"/>
            <w:tcMar>
              <w:top w:type="dxa" w:w="140"/>
              <w:left w:type="dxa" w:w="220"/>
              <w:bottom w:type="dxa" w:w="140"/>
              <w:right w:type="dxa" w:w="220"/>
            </w:tcMar>
          </w:tcPr>
          <w:p>
            <w:pPr>
              <w:spacing w:before="0" w:after="60"/>
            </w:pPr>
            <w:r>
              <w:rPr>
                <w:rFonts w:ascii="Arial" w:cs="Arial" w:eastAsia="Arial" w:hAnsi="Arial"/>
                <w:b/>
                <w:bCs/>
                <w:color w:val="0D7A5F"/>
                <w:sz w:val="22"/>
                <w:szCs w:val="22"/>
              </w:rPr>
              <w:t xml:space="preserve">Summary</w:t>
            </w:r>
          </w:p>
          <w:p>
            <w:r>
              <w:rPr>
                <w:rFonts w:ascii="Arial" w:cs="Arial" w:eastAsia="Arial" w:hAnsi="Arial"/>
                <w:color w:val="1E293B"/>
                <w:sz w:val="20"/>
                <w:szCs w:val="20"/>
              </w:rPr>
              <w:t xml:space="preserve">licensing-contract-service is the legally authoritative contract lifecycle engine of Ecoskiller's Module XIII Royalty &amp; Licensing system. It creates, versions, governs, and archives legally binding IP licensing agreements between candidates and businesses on the platform, enforces minor candidate protections, coordinates multi-party digital signatures, ensures GST and IT Act 2000 compliance, and is the sole prerequisite for the entire downstream royalty payment and audit pipeline — making it foundational to Ecoskiller's innovation monetisation revenue stream across its GCP + AWS multi-cloud deployment.</w:t>
            </w:r>
          </w:p>
        </w:tc>
      </w:tr>
    </w:tbl>
    <w:p>
      <w:r>
        <w:br w:type="page"/>
      </w:r>
    </w:p>
    <w:p>
      <w:pPr>
        <w:pStyle w:val="Heading1"/>
        <w:pBdr>
          <w:bottom w:val="single" w:color="4C1D95" w:sz="4" w:space="4"/>
        </w:pBdr>
        <w:spacing w:before="360" w:after="160"/>
      </w:pPr>
      <w:r>
        <w:rPr>
          <w:rFonts w:ascii="Arial" w:cs="Arial" w:eastAsia="Arial" w:hAnsi="Arial"/>
          <w:b/>
          <w:bCs/>
          <w:color w:val="4C1D95"/>
          <w:sz w:val="30"/>
          <w:szCs w:val="30"/>
        </w:rPr>
        <w:t xml:space="preserve">10. Contract Lifecycle State Machine Reference</w:t>
      </w:r>
    </w:p>
    <w:p>
      <w:pPr>
        <w:spacing w:before="80" w:after="100"/>
      </w:pPr>
      <w:r>
        <w:rPr>
          <w:rFonts w:ascii="Arial" w:cs="Arial" w:eastAsia="Arial" w:hAnsi="Arial"/>
          <w:color w:val="1E293B"/>
          <w:sz w:val="22"/>
          <w:szCs w:val="22"/>
        </w:rPr>
        <w:t xml:space="preserve">All contract state transitions are performed atomically within PostgreSQL transactions. Every transition is logged to ClickHouse royalty_audit_log before the PostgreSQL UPDATE commits.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700"/>
        <w:gridCol w:w="1800"/>
        <w:gridCol w:w="1860"/>
      </w:tblGrid>
      <w:tr>
        <w:trPr>
          <w:tblHeader/>
        </w:trPr>
        <w:tc>
          <w:tcPr>
            <w:tcW w:type="dxa" w:w="14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State</w:t>
            </w:r>
          </w:p>
        </w:tc>
        <w:tc>
          <w:tcPr>
            <w:tcW w:type="dxa" w:w="16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Entry Condition</w:t>
            </w:r>
          </w:p>
        </w:tc>
        <w:tc>
          <w:tcPr>
            <w:tcW w:type="dxa" w:w="20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Key Actions on Entry</w:t>
            </w:r>
          </w:p>
        </w:tc>
        <w:tc>
          <w:tcPr>
            <w:tcW w:type="dxa" w:w="17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PostgreSQL Change</w:t>
            </w:r>
          </w:p>
        </w:tc>
        <w:tc>
          <w:tcPr>
            <w:tcW w:type="dxa" w:w="18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Exit Triggers</w:t>
            </w:r>
          </w:p>
        </w:tc>
        <w:tc>
          <w:tcPr>
            <w:tcW w:type="dxa" w:w="186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Failure / Guard</w:t>
            </w:r>
          </w:p>
        </w:tc>
      </w:tr>
      <w:tr>
        <w:tc>
          <w:tcPr>
            <w:tcW w:type="dxa" w:w="1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DRAFT</w:t>
            </w:r>
          </w:p>
        </w:tc>
        <w:tc>
          <w:tcPr>
            <w:tcW w:type="dxa" w:w="16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idea.marketplace.license.intent consumed OR POST /api/v1/contracts</w:t>
            </w:r>
          </w:p>
        </w:tc>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Contract record created; document.generation.requested Kafka event published; Redis rate config validated</w:t>
            </w:r>
          </w:p>
        </w:tc>
        <w:tc>
          <w:tcPr>
            <w:tcW w:type="dxa" w:w="17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INSERT into royalty.contracts; INSERT version row</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document.generated event received → PENDING_REVIEW</w:t>
            </w:r>
          </w:p>
        </w:tc>
        <w:tc>
          <w:tcPr>
            <w:tcW w:type="dxa" w:w="18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If minor candidate: block until innovation.trust.consent.approved received</w:t>
            </w:r>
          </w:p>
        </w:tc>
      </w:tr>
      <w:tr>
        <w:tc>
          <w:tcPr>
            <w:tcW w:type="dxa" w:w="14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PENDING_REVIEW</w:t>
            </w:r>
          </w:p>
        </w:tc>
        <w:tc>
          <w:tcPr>
            <w:tcW w:type="dxa" w:w="16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document.generated event received</w:t>
            </w:r>
          </w:p>
        </w:tc>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Document URL stored; parties notified via notification-service; signature.requested Kafka event published</w:t>
            </w:r>
          </w:p>
        </w:tc>
        <w:tc>
          <w:tcPr>
            <w:tcW w:type="dxa" w:w="17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UPDATE contract: document_url, status=PENDING_SIGNATURE (combined with review)</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All parties accept terms → PENDING_SIGNATURE; Any party rejects → DRAFT (amendment required)</w:t>
            </w:r>
          </w:p>
        </w:tc>
        <w:tc>
          <w:tcPr>
            <w:tcW w:type="dxa" w:w="18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7-day review timeout → licensing.contract.signature.timeout event; reverts to DRAFT</w:t>
            </w:r>
          </w:p>
        </w:tc>
      </w:tr>
      <w:tr>
        <w:tc>
          <w:tcPr>
            <w:tcW w:type="dxa" w:w="1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PENDING_SIGNATURE</w:t>
            </w:r>
          </w:p>
        </w:tc>
        <w:tc>
          <w:tcPr>
            <w:tcW w:type="dxa" w:w="16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All parties accept terms / state advanced via API</w:t>
            </w:r>
          </w:p>
        </w:tc>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Signature tracking rows inserted into royalty.contract_signatures per signatory; Digital Signature Service routing active</w:t>
            </w:r>
          </w:p>
        </w:tc>
        <w:tc>
          <w:tcPr>
            <w:tcW w:type="dxa" w:w="17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INSERT into royalty.contract_signatures (PENDING per signer)</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All parties signed (document.signed all_parties_signed: true) → ACTIVE</w:t>
            </w:r>
          </w:p>
        </w:tc>
        <w:tc>
          <w:tcPr>
            <w:tcW w:type="dxa" w:w="18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Per-party signature TTL (default: 7 days); timeout → licensing.contract.signature.timeout; revert to PENDING_REVIEW</w:t>
            </w:r>
          </w:p>
        </w:tc>
      </w:tr>
      <w:tr>
        <w:tc>
          <w:tcPr>
            <w:tcW w:type="dxa" w:w="14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ACTIVE</w:t>
            </w:r>
          </w:p>
        </w:tc>
        <w:tc>
          <w:tcPr>
            <w:tcW w:type="dxa" w:w="16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All-party signature completion (all_parties_signed: true)</w:t>
            </w:r>
          </w:p>
        </w:tc>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licensing.contract.signed Kafka event published; archive.requested Kafka event published; archive_url stored on MinIO ETag return</w:t>
            </w:r>
          </w:p>
        </w:tc>
        <w:tc>
          <w:tcPr>
            <w:tcW w:type="dxa" w:w="17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UPDATE contract: status=ACTIVE, signed_at, archive_url; all signature rows → SIGNED</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Termination request + audit compliance check → TERMINATED; Amendment accepted → returns to PENDING_SIGNATURE for re-signing</w:t>
            </w:r>
          </w:p>
        </w:tc>
        <w:tc>
          <w:tcPr>
            <w:tcW w:type="dxa" w:w="18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WORM archive write failure: retried 3x; contract remains ACTIVE; archive async retry queued in DLQ</w:t>
            </w:r>
          </w:p>
        </w:tc>
      </w:tr>
      <w:tr>
        <w:tc>
          <w:tcPr>
            <w:tcW w:type="dxa" w:w="14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SUSPENDED</w:t>
            </w:r>
          </w:p>
        </w:tc>
        <w:tc>
          <w:tcPr>
            <w:tcW w:type="dxa" w:w="16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Admin-initiated suspension (ecoskiller:licensing:admin role) OR Royalty Audit compliance breach</w:t>
            </w:r>
          </w:p>
        </w:tc>
        <w:tc>
          <w:tcPr>
            <w:tcW w:type="dxa" w:w="2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Royalty Accounting Engine pauses royalty calculations; Royalty Wallet Service suspends payouts; parties notified</w:t>
            </w:r>
          </w:p>
        </w:tc>
        <w:tc>
          <w:tcPr>
            <w:tcW w:type="dxa" w:w="17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UPDATE contract: status=SUSPENDED, suspension_reason, suspended_at</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Admin reinstatement → ACTIVE; Unresolved breach → TERMINATED</w:t>
            </w:r>
          </w:p>
        </w:tc>
        <w:tc>
          <w:tcPr>
            <w:tcW w:type="dxa" w:w="18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Suspension without resolution within configurable window → auto-escalation to admin-service</w:t>
            </w:r>
          </w:p>
        </w:tc>
      </w:tr>
      <w:tr>
        <w:tc>
          <w:tcPr>
            <w:tcW w:type="dxa" w:w="14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TERMINATED</w:t>
            </w:r>
          </w:p>
        </w:tc>
        <w:tc>
          <w:tcPr>
            <w:tcW w:type="dxa" w:w="16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 /api/v1/contracts/:id/terminate + Royalty Audit compliance clearance</w:t>
            </w:r>
          </w:p>
        </w:tc>
        <w:tc>
          <w:tcPr>
            <w:tcW w:type="dxa" w:w="2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Final royalty calculation period emitted; Royalty Wallet Service closes payout wallet; licensing.contract.terminated published</w:t>
            </w:r>
          </w:p>
        </w:tc>
        <w:tc>
          <w:tcPr>
            <w:tcW w:type="dxa" w:w="17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UPDATE contract: status=TERMINATED, terminated_at, termination_reason; final version row inserted</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Terminal state — no exit</w:t>
            </w:r>
          </w:p>
        </w:tc>
        <w:tc>
          <w:tcPr>
            <w:tcW w:type="dxa" w:w="18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Early termination without minimum royalty compliance clearance → blocked; 403 returned to requester</w:t>
            </w:r>
          </w:p>
        </w:tc>
      </w:tr>
    </w:tbl>
    <w:p>
      <w:pPr>
        <w:pStyle w:val="Heading1"/>
        <w:pBdr>
          <w:bottom w:val="single" w:color="4C1D95" w:sz="4" w:space="4"/>
        </w:pBdr>
        <w:spacing w:before="360" w:after="160"/>
      </w:pPr>
      <w:r>
        <w:rPr>
          <w:rFonts w:ascii="Arial" w:cs="Arial" w:eastAsia="Arial" w:hAnsi="Arial"/>
          <w:b/>
          <w:bCs/>
          <w:color w:val="4C1D95"/>
          <w:sz w:val="30"/>
          <w:szCs w:val="30"/>
        </w:rPr>
        <w:t xml:space="preserve">11. Event Pipeline &amp; Data Flow</w:t>
      </w:r>
    </w:p>
    <w:p>
      <w:pPr>
        <w:spacing w:before="80" w:after="100"/>
      </w:pPr>
      <w:r>
        <w:rPr>
          <w:rFonts w:ascii="Arial" w:cs="Arial" w:eastAsia="Arial" w:hAnsi="Arial"/>
          <w:color w:val="1E293B"/>
          <w:sz w:val="22"/>
          <w:szCs w:val="22"/>
        </w:rPr>
        <w:t xml:space="preserve">The following diagram illustrates the end-to-end event flow through licensing-contract-service within the Ecoskiller Module XII → XIII pipeline.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B5FD" w:sz="1"/>
              <w:left w:val="single" w:color="C4B5FD" w:sz="1"/>
              <w:bottom w:val="single" w:color="C4B5FD" w:sz="1"/>
              <w:right w:val="single" w:color="C4B5FD"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color w:val="E2E8F0"/>
                <w:sz w:val="18"/>
                <w:szCs w:val="18"/>
              </w:rPr>
              <w:t xml:space="preserve">ECOSKILLER — licensing-contract-service EVENT PIPELINE</w:t>
            </w:r>
          </w:p>
          <w:p>
            <w:pPr>
              <w:spacing w:before="18" w:after="18"/>
            </w:pPr>
            <w:r>
              <w:rPr>
                <w:rFonts w:ascii="Courier New" w:cs="Courier New" w:eastAsia="Courier New" w:hAnsi="Courier New"/>
                <w:color w:val="E2E8F0"/>
                <w:sz w:val="18"/>
                <w:szCs w:val="18"/>
              </w:rPr>
              <w:t xml:space="preserve">══════════════════════════════════════════════════════════</w:t>
            </w:r>
          </w:p>
          <w:p>
            <w:pPr>
              <w:spacing w:before="18" w:after="18"/>
            </w:pPr>
            <w:r>
              <w:rPr>
                <w:rFonts w:ascii="Courier New" w:cs="Courier New" w:eastAsia="Courier New" w:hAnsi="Courier New"/>
                <w:color w:val="E2E8F0"/>
                <w:sz w:val="18"/>
                <w:szCs w:val="18"/>
              </w:rPr>
              <w:t xml:space="preserve"/>
            </w:r>
          </w:p>
          <w:p>
            <w:pPr>
              <w:spacing w:before="18" w:after="18"/>
            </w:pPr>
            <w:r>
              <w:rPr>
                <w:rFonts w:ascii="Courier New" w:cs="Courier New" w:eastAsia="Courier New" w:hAnsi="Courier New"/>
                <w:color w:val="E2E8F0"/>
                <w:sz w:val="18"/>
                <w:szCs w:val="18"/>
              </w:rPr>
              <w:t xml:space="preserve">MODULE XII TRIGGER</w:t>
            </w:r>
          </w:p>
          <w:p>
            <w:pPr>
              <w:spacing w:before="18" w:after="18"/>
            </w:pPr>
            <w:r>
              <w:rPr>
                <w:rFonts w:ascii="Courier New" w:cs="Courier New" w:eastAsia="Courier New" w:hAnsi="Courier New"/>
                <w:color w:val="E2E8F0"/>
                <w:sz w:val="18"/>
                <w:szCs w:val="18"/>
              </w:rPr>
              <w:t xml:space="preserve">  Idea Marketplace Service ──► idea.marketplace.license.intent</w:t>
            </w:r>
          </w:p>
          <w:p>
            <w:pPr>
              <w:spacing w:before="18" w:after="18"/>
            </w:pPr>
            <w:r>
              <w:rPr>
                <w:rFonts w:ascii="Courier New" w:cs="Courier New" w:eastAsia="Courier New" w:hAnsi="Courier New"/>
                <w:color w:val="E2E8F0"/>
                <w:sz w:val="18"/>
                <w:szCs w:val="18"/>
              </w:rPr>
              <w:t xml:space="preserve">                                            │</w:t>
            </w:r>
          </w:p>
          <w:p>
            <w:pPr>
              <w:spacing w:before="18" w:after="18"/>
            </w:pPr>
            <w:r>
              <w:rPr>
                <w:rFonts w:ascii="Courier New" w:cs="Courier New" w:eastAsia="Courier New" w:hAnsi="Courier New"/>
                <w:color w:val="E2E8F0"/>
                <w:sz w:val="18"/>
                <w:szCs w:val="18"/>
              </w:rPr>
              <w:t xml:space="preserve">                              ┌─────────────▼──────────────────┐</w:t>
            </w:r>
          </w:p>
          <w:p>
            <w:pPr>
              <w:spacing w:before="18" w:after="18"/>
            </w:pPr>
            <w:r>
              <w:rPr>
                <w:rFonts w:ascii="Courier New" w:cs="Courier New" w:eastAsia="Courier New" w:hAnsi="Courier New"/>
                <w:color w:val="E2E8F0"/>
                <w:sz w:val="18"/>
                <w:szCs w:val="18"/>
              </w:rPr>
              <w:t xml:space="preserve">                              │  licensing-contract-service    │</w:t>
            </w:r>
          </w:p>
          <w:p>
            <w:pPr>
              <w:spacing w:before="18" w:after="18"/>
            </w:pPr>
            <w:r>
              <w:rPr>
                <w:rFonts w:ascii="Courier New" w:cs="Courier New" w:eastAsia="Courier New" w:hAnsi="Courier New"/>
                <w:color w:val="E2E8F0"/>
                <w:sz w:val="18"/>
                <w:szCs w:val="18"/>
              </w:rPr>
              <w:t xml:space="preserve">                              │                                │</w:t>
            </w:r>
          </w:p>
          <w:p>
            <w:pPr>
              <w:spacing w:before="18" w:after="18"/>
            </w:pPr>
            <w:r>
              <w:rPr>
                <w:rFonts w:ascii="Courier New" w:cs="Courier New" w:eastAsia="Courier New" w:hAnsi="Courier New"/>
                <w:color w:val="E2E8F0"/>
                <w:sz w:val="18"/>
                <w:szCs w:val="18"/>
              </w:rPr>
              <w:t xml:space="preserve">                              │  State Machine:                │</w:t>
            </w:r>
          </w:p>
          <w:p>
            <w:pPr>
              <w:spacing w:before="18" w:after="18"/>
            </w:pPr>
            <w:r>
              <w:rPr>
                <w:rFonts w:ascii="Courier New" w:cs="Courier New" w:eastAsia="Courier New" w:hAnsi="Courier New"/>
                <w:color w:val="E2E8F0"/>
                <w:sz w:val="18"/>
                <w:szCs w:val="18"/>
              </w:rPr>
              <w:t xml:space="preserve">                              │  DRAFT → PENDING_REVIEW        │</w:t>
            </w:r>
          </w:p>
          <w:p>
            <w:pPr>
              <w:spacing w:before="18" w:after="18"/>
            </w:pPr>
            <w:r>
              <w:rPr>
                <w:rFonts w:ascii="Courier New" w:cs="Courier New" w:eastAsia="Courier New" w:hAnsi="Courier New"/>
                <w:color w:val="E2E8F0"/>
                <w:sz w:val="18"/>
                <w:szCs w:val="18"/>
              </w:rPr>
              <w:t xml:space="preserve">                              │        → PENDING_SIGNATURE     │</w:t>
            </w:r>
          </w:p>
          <w:p>
            <w:pPr>
              <w:spacing w:before="18" w:after="18"/>
            </w:pPr>
            <w:r>
              <w:rPr>
                <w:rFonts w:ascii="Courier New" w:cs="Courier New" w:eastAsia="Courier New" w:hAnsi="Courier New"/>
                <w:color w:val="E2E8F0"/>
                <w:sz w:val="18"/>
                <w:szCs w:val="18"/>
              </w:rPr>
              <w:t xml:space="preserve">                              │        → ACTIVE                │</w:t>
            </w:r>
          </w:p>
          <w:p>
            <w:pPr>
              <w:spacing w:before="18" w:after="18"/>
            </w:pPr>
            <w:r>
              <w:rPr>
                <w:rFonts w:ascii="Courier New" w:cs="Courier New" w:eastAsia="Courier New" w:hAnsi="Courier New"/>
                <w:color w:val="E2E8F0"/>
                <w:sz w:val="18"/>
                <w:szCs w:val="18"/>
              </w:rPr>
              <w:t xml:space="preserve">                              │        → SUSPENDED             │</w:t>
            </w:r>
          </w:p>
          <w:p>
            <w:pPr>
              <w:spacing w:before="18" w:after="18"/>
            </w:pPr>
            <w:r>
              <w:rPr>
                <w:rFonts w:ascii="Courier New" w:cs="Courier New" w:eastAsia="Courier New" w:hAnsi="Courier New"/>
                <w:color w:val="E2E8F0"/>
                <w:sz w:val="18"/>
                <w:szCs w:val="18"/>
              </w:rPr>
              <w:t xml:space="preserve">                              │        → TERMINATED            │</w:t>
            </w:r>
          </w:p>
          <w:p>
            <w:pPr>
              <w:spacing w:before="18" w:after="18"/>
            </w:pPr>
            <w:r>
              <w:rPr>
                <w:rFonts w:ascii="Courier New" w:cs="Courier New" w:eastAsia="Courier New" w:hAnsi="Courier New"/>
                <w:color w:val="E2E8F0"/>
                <w:sz w:val="18"/>
                <w:szCs w:val="18"/>
              </w:rPr>
              <w:t xml:space="preserve">                              │                                │</w:t>
            </w:r>
          </w:p>
          <w:p>
            <w:pPr>
              <w:spacing w:before="18" w:after="18"/>
            </w:pPr>
            <w:r>
              <w:rPr>
                <w:rFonts w:ascii="Courier New" w:cs="Courier New" w:eastAsia="Courier New" w:hAnsi="Courier New"/>
                <w:color w:val="E2E8F0"/>
                <w:sz w:val="18"/>
                <w:szCs w:val="18"/>
              </w:rPr>
              <w:t xml:space="preserve">                              │  PostgreSQL: royalty.*         │</w:t>
            </w:r>
          </w:p>
          <w:p>
            <w:pPr>
              <w:spacing w:before="18" w:after="18"/>
            </w:pPr>
            <w:r>
              <w:rPr>
                <w:rFonts w:ascii="Courier New" w:cs="Courier New" w:eastAsia="Courier New" w:hAnsi="Courier New"/>
                <w:color w:val="E2E8F0"/>
                <w:sz w:val="18"/>
                <w:szCs w:val="18"/>
              </w:rPr>
              <w:t xml:space="preserve">                              │  Redis: locks + cache          │</w:t>
            </w:r>
          </w:p>
          <w:p>
            <w:pPr>
              <w:spacing w:before="18" w:after="18"/>
            </w:pPr>
            <w:r>
              <w:rPr>
                <w:rFonts w:ascii="Courier New" w:cs="Courier New" w:eastAsia="Courier New" w:hAnsi="Courier New"/>
                <w:color w:val="E2E8F0"/>
                <w:sz w:val="18"/>
                <w:szCs w:val="18"/>
              </w:rPr>
              <w:t xml:space="preserve">                              │  ClickHouse: audit_log         │</w:t>
            </w:r>
          </w:p>
          <w:p>
            <w:pPr>
              <w:spacing w:before="18" w:after="18"/>
            </w:pPr>
            <w:r>
              <w:rPr>
                <w:rFonts w:ascii="Courier New" w:cs="Courier New" w:eastAsia="Courier New" w:hAnsi="Courier New"/>
                <w:color w:val="E2E8F0"/>
                <w:sz w:val="18"/>
                <w:szCs w:val="18"/>
              </w:rPr>
              <w:t xml:space="preserve">                              └──────┬──────────┬─────────────┘</w:t>
            </w:r>
          </w:p>
          <w:p>
            <w:pPr>
              <w:spacing w:before="18" w:after="18"/>
            </w:pPr>
            <w:r>
              <w:rPr>
                <w:rFonts w:ascii="Courier New" w:cs="Courier New" w:eastAsia="Courier New" w:hAnsi="Courier New"/>
                <w:color w:val="E2E8F0"/>
                <w:sz w:val="18"/>
                <w:szCs w:val="18"/>
              </w:rPr>
              <w:t xml:space="preserve">                                     │          │</w:t>
            </w:r>
          </w:p>
          <w:p>
            <w:pPr>
              <w:spacing w:before="18" w:after="18"/>
            </w:pPr>
            <w:r>
              <w:rPr>
                <w:rFonts w:ascii="Courier New" w:cs="Courier New" w:eastAsia="Courier New" w:hAnsi="Courier New"/>
                <w:color w:val="E2E8F0"/>
                <w:sz w:val="18"/>
                <w:szCs w:val="18"/>
              </w:rPr>
              <w:t xml:space="preserve">         document.generation.requested          signature.requested</w:t>
            </w:r>
          </w:p>
          <w:p>
            <w:pPr>
              <w:spacing w:before="18" w:after="18"/>
            </w:pPr>
            <w:r>
              <w:rPr>
                <w:rFonts w:ascii="Courier New" w:cs="Courier New" w:eastAsia="Courier New" w:hAnsi="Courier New"/>
                <w:color w:val="E2E8F0"/>
                <w:sz w:val="18"/>
                <w:szCs w:val="18"/>
              </w:rPr>
              <w:t xml:space="preserve">                    │                                │</w:t>
            </w:r>
          </w:p>
          <w:p>
            <w:pPr>
              <w:spacing w:before="18" w:after="18"/>
            </w:pPr>
            <w:r>
              <w:rPr>
                <w:rFonts w:ascii="Courier New" w:cs="Courier New" w:eastAsia="Courier New" w:hAnsi="Courier New"/>
                <w:color w:val="E2E8F0"/>
                <w:sz w:val="18"/>
                <w:szCs w:val="18"/>
              </w:rPr>
              <w:t xml:space="preserve">         ┌──────────▼──────────┐      ┌─────────────▼──────────┐</w:t>
            </w:r>
          </w:p>
          <w:p>
            <w:pPr>
              <w:spacing w:before="18" w:after="18"/>
            </w:pPr>
            <w:r>
              <w:rPr>
                <w:rFonts w:ascii="Courier New" w:cs="Courier New" w:eastAsia="Courier New" w:hAnsi="Courier New"/>
                <w:color w:val="E2E8F0"/>
                <w:sz w:val="18"/>
                <w:szCs w:val="18"/>
              </w:rPr>
              <w:t xml:space="preserve">         │ Legal Document Gen  │      │  Digital Signature Svc  │</w:t>
            </w:r>
          </w:p>
          <w:p>
            <w:pPr>
              <w:spacing w:before="18" w:after="18"/>
            </w:pPr>
            <w:r>
              <w:rPr>
                <w:rFonts w:ascii="Courier New" w:cs="Courier New" w:eastAsia="Courier New" w:hAnsi="Courier New"/>
                <w:color w:val="E2E8F0"/>
                <w:sz w:val="18"/>
                <w:szCs w:val="18"/>
              </w:rPr>
              <w:t xml:space="preserve">         │ Service (Section 22)│      │  (Section 22)           │</w:t>
            </w:r>
          </w:p>
          <w:p>
            <w:pPr>
              <w:spacing w:before="18" w:after="18"/>
            </w:pPr>
            <w:r>
              <w:rPr>
                <w:rFonts w:ascii="Courier New" w:cs="Courier New" w:eastAsia="Courier New" w:hAnsi="Courier New"/>
                <w:color w:val="E2E8F0"/>
                <w:sz w:val="18"/>
                <w:szCs w:val="18"/>
              </w:rPr>
              <w:t xml:space="preserve">         └──────────┬──────────┘      └─────────────┬──────────┘</w:t>
            </w:r>
          </w:p>
          <w:p>
            <w:pPr>
              <w:spacing w:before="18" w:after="18"/>
            </w:pPr>
            <w:r>
              <w:rPr>
                <w:rFonts w:ascii="Courier New" w:cs="Courier New" w:eastAsia="Courier New" w:hAnsi="Courier New"/>
                <w:color w:val="E2E8F0"/>
                <w:sz w:val="18"/>
                <w:szCs w:val="18"/>
              </w:rPr>
              <w:t xml:space="preserve">          document.generated              document.signed (all)</w:t>
            </w:r>
          </w:p>
          <w:p>
            <w:pPr>
              <w:spacing w:before="18" w:after="18"/>
            </w:pPr>
            <w:r>
              <w:rPr>
                <w:rFonts w:ascii="Courier New" w:cs="Courier New" w:eastAsia="Courier New" w:hAnsi="Courier New"/>
                <w:color w:val="E2E8F0"/>
                <w:sz w:val="18"/>
                <w:szCs w:val="18"/>
              </w:rPr>
              <w:t xml:space="preserve">                    └──────────────┬───────────────────┘</w:t>
            </w:r>
          </w:p>
          <w:p>
            <w:pPr>
              <w:spacing w:before="18" w:after="18"/>
            </w:pPr>
            <w:r>
              <w:rPr>
                <w:rFonts w:ascii="Courier New" w:cs="Courier New" w:eastAsia="Courier New" w:hAnsi="Courier New"/>
                <w:color w:val="E2E8F0"/>
                <w:sz w:val="18"/>
                <w:szCs w:val="18"/>
              </w:rPr>
              <w:t xml:space="preserve">                                   │ (back to licensing-contract-svc)</w:t>
            </w:r>
          </w:p>
          <w:p>
            <w:pPr>
              <w:spacing w:before="18" w:after="18"/>
            </w:pPr>
            <w:r>
              <w:rPr>
                <w:rFonts w:ascii="Courier New" w:cs="Courier New" w:eastAsia="Courier New" w:hAnsi="Courier New"/>
                <w:color w:val="E2E8F0"/>
                <w:sz w:val="18"/>
                <w:szCs w:val="18"/>
              </w:rPr>
              <w:t xml:space="preserve">                                   │ → licensing.contract.SIGNED</w:t>
            </w:r>
          </w:p>
          <w:p>
            <w:pPr>
              <w:spacing w:before="18" w:after="18"/>
            </w:pPr>
            <w:r>
              <w:rPr>
                <w:rFonts w:ascii="Courier New" w:cs="Courier New" w:eastAsia="Courier New" w:hAnsi="Courier New"/>
                <w:color w:val="E2E8F0"/>
                <w:sz w:val="18"/>
                <w:szCs w:val="18"/>
              </w:rPr>
              <w:t xml:space="preserve">               ┌──────────┬────────┴──────┬────────────┐</w:t>
            </w:r>
          </w:p>
          <w:p>
            <w:pPr>
              <w:spacing w:before="18" w:after="18"/>
            </w:pPr>
            <w:r>
              <w:rPr>
                <w:rFonts w:ascii="Courier New" w:cs="Courier New" w:eastAsia="Courier New" w:hAnsi="Courier New"/>
                <w:color w:val="E2E8F0"/>
                <w:sz w:val="18"/>
                <w:szCs w:val="18"/>
              </w:rPr>
              <w:t xml:space="preserve">               ▼          ▼               ▼            ▼</w:t>
            </w:r>
          </w:p>
          <w:p>
            <w:pPr>
              <w:spacing w:before="18" w:after="18"/>
            </w:pPr>
            <w:r>
              <w:rPr>
                <w:rFonts w:ascii="Courier New" w:cs="Courier New" w:eastAsia="Courier New" w:hAnsi="Courier New"/>
                <w:color w:val="E2E8F0"/>
                <w:sz w:val="18"/>
                <w:szCs w:val="18"/>
              </w:rPr>
              <w:t xml:space="preserve">         Royalty     Royalty Wallet  analytics-svc  notification-svc</w:t>
            </w:r>
          </w:p>
          <w:p>
            <w:pPr>
              <w:spacing w:before="18" w:after="18"/>
            </w:pPr>
            <w:r>
              <w:rPr>
                <w:rFonts w:ascii="Courier New" w:cs="Courier New" w:eastAsia="Courier New" w:hAnsi="Courier New"/>
                <w:color w:val="E2E8F0"/>
                <w:sz w:val="18"/>
                <w:szCs w:val="18"/>
              </w:rPr>
              <w:t xml:space="preserve">       Accounting    Service (XIII)                              </w:t>
            </w:r>
          </w:p>
          <w:p>
            <w:pPr>
              <w:spacing w:before="18" w:after="18"/>
            </w:pPr>
            <w:r>
              <w:rPr>
                <w:rFonts w:ascii="Courier New" w:cs="Courier New" w:eastAsia="Courier New" w:hAnsi="Courier New"/>
                <w:color w:val="E2E8F0"/>
                <w:sz w:val="18"/>
                <w:szCs w:val="18"/>
              </w:rPr>
              <w:t xml:space="preserve">       Engine (XIII)                                            </w:t>
            </w:r>
          </w:p>
          <w:p>
            <w:pPr>
              <w:spacing w:before="18" w:after="18"/>
            </w:pPr>
            <w:r>
              <w:rPr>
                <w:rFonts w:ascii="Courier New" w:cs="Courier New" w:eastAsia="Courier New" w:hAnsi="Courier New"/>
                <w:color w:val="E2E8F0"/>
                <w:sz w:val="18"/>
                <w:szCs w:val="18"/>
              </w:rPr>
              <w:t xml:space="preserve">               │          │</w:t>
            </w:r>
          </w:p>
          <w:p>
            <w:pPr>
              <w:spacing w:before="18" w:after="18"/>
            </w:pPr>
            <w:r>
              <w:rPr>
                <w:rFonts w:ascii="Courier New" w:cs="Courier New" w:eastAsia="Courier New" w:hAnsi="Courier New"/>
                <w:color w:val="E2E8F0"/>
                <w:sz w:val="18"/>
                <w:szCs w:val="18"/>
              </w:rPr>
              <w:t xml:space="preserve">               ▼          ▼</w:t>
            </w:r>
          </w:p>
          <w:p>
            <w:pPr>
              <w:spacing w:before="18" w:after="18"/>
            </w:pPr>
            <w:r>
              <w:rPr>
                <w:rFonts w:ascii="Courier New" w:cs="Courier New" w:eastAsia="Courier New" w:hAnsi="Courier New"/>
                <w:color w:val="E2E8F0"/>
                <w:sz w:val="18"/>
                <w:szCs w:val="18"/>
              </w:rPr>
              <w:t xml:space="preserve">         Royalty Audit  Royalty Payout</w:t>
            </w:r>
          </w:p>
          <w:p>
            <w:pPr>
              <w:spacing w:before="18" w:after="18"/>
            </w:pPr>
            <w:r>
              <w:rPr>
                <w:rFonts w:ascii="Courier New" w:cs="Courier New" w:eastAsia="Courier New" w:hAnsi="Courier New"/>
                <w:color w:val="E2E8F0"/>
                <w:sz w:val="18"/>
                <w:szCs w:val="18"/>
              </w:rPr>
              <w:t xml:space="preserve">         &amp; Compliance   Processing</w:t>
            </w:r>
          </w:p>
          <w:p>
            <w:pPr>
              <w:spacing w:before="18" w:after="18"/>
            </w:pPr>
            <w:r>
              <w:rPr>
                <w:rFonts w:ascii="Courier New" w:cs="Courier New" w:eastAsia="Courier New" w:hAnsi="Courier New"/>
                <w:color w:val="E2E8F0"/>
                <w:sz w:val="18"/>
                <w:szCs w:val="18"/>
              </w:rPr>
              <w:t xml:space="preserve">         Service (XIII)             </w:t>
            </w:r>
          </w:p>
          <w:p>
            <w:pPr>
              <w:spacing w:before="18" w:after="18"/>
            </w:pPr>
            <w:r>
              <w:rPr>
                <w:rFonts w:ascii="Courier New" w:cs="Courier New" w:eastAsia="Courier New" w:hAnsi="Courier New"/>
                <w:color w:val="E2E8F0"/>
                <w:sz w:val="18"/>
                <w:szCs w:val="18"/>
              </w:rPr>
              <w:t xml:space="preserve">               │</w:t>
            </w:r>
          </w:p>
          <w:p>
            <w:pPr>
              <w:spacing w:before="18" w:after="18"/>
            </w:pPr>
            <w:r>
              <w:rPr>
                <w:rFonts w:ascii="Courier New" w:cs="Courier New" w:eastAsia="Courier New" w:hAnsi="Courier New"/>
                <w:color w:val="E2E8F0"/>
                <w:sz w:val="18"/>
                <w:szCs w:val="18"/>
              </w:rPr>
              <w:t xml:space="preserve">               ▼</w:t>
            </w:r>
          </w:p>
          <w:p>
            <w:pPr>
              <w:spacing w:before="18" w:after="18"/>
            </w:pPr>
            <w:r>
              <w:rPr>
                <w:rFonts w:ascii="Courier New" w:cs="Courier New" w:eastAsia="Courier New" w:hAnsi="Courier New"/>
                <w:color w:val="E2E8F0"/>
                <w:sz w:val="18"/>
                <w:szCs w:val="18"/>
              </w:rPr>
              <w:t xml:space="preserve">         billing-service (GST invoice generation)</w:t>
            </w:r>
          </w:p>
        </w:tc>
      </w:tr>
    </w:tbl>
    <w:p>
      <w:pPr>
        <w:pStyle w:val="Heading1"/>
        <w:pBdr>
          <w:bottom w:val="single" w:color="4C1D95" w:sz="4" w:space="4"/>
        </w:pBdr>
        <w:spacing w:before="360" w:after="160"/>
      </w:pPr>
      <w:r>
        <w:rPr>
          <w:rFonts w:ascii="Arial" w:cs="Arial" w:eastAsia="Arial" w:hAnsi="Arial"/>
          <w:b/>
          <w:bCs/>
          <w:color w:val="4C1D95"/>
          <w:sz w:val="30"/>
          <w:szCs w:val="30"/>
        </w:rPr>
        <w:t xml:space="preserve">12. Internal REST API Reference</w:t>
      </w:r>
    </w:p>
    <w:p>
      <w:pPr>
        <w:spacing w:before="80" w:after="100"/>
      </w:pPr>
      <w:r>
        <w:rPr>
          <w:rFonts w:ascii="Arial" w:cs="Arial" w:eastAsia="Arial" w:hAnsi="Arial"/>
          <w:color w:val="1E293B"/>
          <w:sz w:val="22"/>
          <w:szCs w:val="22"/>
        </w:rPr>
        <w:t xml:space="preserve">All endpoints are internal-only. Service accessible within the Kubernetes cluster at: http://licensing-contract-service.billing.svc.cluster.local:3000. All endpoints except /health and /metrics require a valid Keycloak JWT Bearer token.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200"/>
        <w:gridCol w:w="3460"/>
      </w:tblGrid>
      <w:tr>
        <w:trPr>
          <w:tblHeader/>
        </w:trPr>
        <w:tc>
          <w:tcPr>
            <w:tcW w:type="dxa" w:w="9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Path</w:t>
            </w:r>
          </w:p>
        </w:tc>
        <w:tc>
          <w:tcPr>
            <w:tcW w:type="dxa" w:w="22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Auth Role</w:t>
            </w:r>
          </w:p>
        </w:tc>
        <w:tc>
          <w:tcPr>
            <w:tcW w:type="dxa" w:w="346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/health</w:t>
            </w:r>
          </w:p>
        </w:tc>
        <w:tc>
          <w:tcPr>
            <w:tcW w:type="dxa" w:w="2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None (k8s probe)</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Liveness + readiness. Returns { status, kafka: bool, pg: bool, redis: bool }</w:t>
            </w:r>
          </w:p>
        </w:tc>
      </w:tr>
      <w:tr>
        <w:tc>
          <w:tcPr>
            <w:tcW w:type="dxa" w:w="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/metrics</w:t>
            </w:r>
          </w:p>
        </w:tc>
        <w:tc>
          <w:tcPr>
            <w:tcW w:type="dxa" w:w="2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None (Prometheus scrape)</w:t>
            </w:r>
          </w:p>
        </w:tc>
        <w:tc>
          <w:tcPr>
            <w:tcW w:type="dxa" w:w="34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Prometheus metrics: contracts_created_total, contracts_active_gauge, signature_timeout_total, state_transition_latency_p95</w:t>
            </w:r>
          </w:p>
        </w:tc>
      </w:tr>
      <w:tr>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w:t>
            </w:r>
          </w:p>
        </w:tc>
        <w:tc>
          <w:tcPr>
            <w:tcW w:type="dxa" w:w="2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/api/v1/contracts</w:t>
            </w:r>
          </w:p>
        </w:tc>
        <w:tc>
          <w:tcPr>
            <w:tcW w:type="dxa" w:w="2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ecoskiller:licensing:create</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Create new DRAFT contract. Validates rate against platform_rate_config. Returns contract_id + DRAFT status.</w:t>
            </w:r>
          </w:p>
        </w:tc>
      </w:tr>
      <w:tr>
        <w:tc>
          <w:tcPr>
            <w:tcW w:type="dxa" w:w="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/api/v1/contracts</w:t>
            </w:r>
          </w:p>
        </w:tc>
        <w:tc>
          <w:tcPr>
            <w:tcW w:type="dxa" w:w="2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ecoskiller:viewer</w:t>
            </w:r>
          </w:p>
        </w:tc>
        <w:tc>
          <w:tcPr>
            <w:tcW w:type="dxa" w:w="34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Paginated contract list with filters. Returns metadata only — no document content.</w:t>
            </w:r>
          </w:p>
        </w:tc>
      </w:tr>
      <w:tr>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/api/v1/contracts/:contract_id</w:t>
            </w:r>
          </w:p>
        </w:tc>
        <w:tc>
          <w:tcPr>
            <w:tcW w:type="dxa" w:w="2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ecoskiller:viewer</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Full contract record. document_url is a 15-min pre-signed MinIO URL.</w:t>
            </w:r>
          </w:p>
        </w:tc>
      </w:tr>
      <w:tr>
        <w:tc>
          <w:tcPr>
            <w:tcW w:type="dxa" w:w="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/api/v1/contracts/:contract_id/versions</w:t>
            </w:r>
          </w:p>
        </w:tc>
        <w:tc>
          <w:tcPr>
            <w:tcW w:type="dxa" w:w="2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ecoskiller:viewer</w:t>
            </w:r>
          </w:p>
        </w:tc>
        <w:tc>
          <w:tcPr>
            <w:tcW w:type="dxa" w:w="34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Full version history. Each version includes changed_fields, actor, reason, and version_document_url.</w:t>
            </w:r>
          </w:p>
        </w:tc>
      </w:tr>
      <w:tr>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PATCH</w:t>
            </w:r>
          </w:p>
        </w:tc>
        <w:tc>
          <w:tcPr>
            <w:tcW w:type="dxa" w:w="2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/api/v1/contracts/:contract_id/state</w:t>
            </w:r>
          </w:p>
        </w:tc>
        <w:tc>
          <w:tcPr>
            <w:tcW w:type="dxa" w:w="2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ecoskiller:licensing:admin</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State machine advance/revert. Validates transition rules. 409 on invalid transition.</w:t>
            </w:r>
          </w:p>
        </w:tc>
      </w:tr>
      <w:tr>
        <w:tc>
          <w:tcPr>
            <w:tcW w:type="dxa" w:w="9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w:t>
            </w:r>
          </w:p>
        </w:tc>
        <w:tc>
          <w:tcPr>
            <w:tcW w:type="dxa" w:w="2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/api/v1/contracts/:contract_id/amend</w:t>
            </w:r>
          </w:p>
        </w:tc>
        <w:tc>
          <w:tcPr>
            <w:tcW w:type="dxa" w:w="2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ecoskiller:licensing:create</w:t>
            </w:r>
          </w:p>
        </w:tc>
        <w:tc>
          <w:tcPr>
            <w:tcW w:type="dxa" w:w="34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Amendment request. Creates new version, triggers re-signing. Requires both_party_consent: true.</w:t>
            </w:r>
          </w:p>
        </w:tc>
      </w:tr>
      <w:tr>
        <w:tc>
          <w:tcPr>
            <w:tcW w:type="dxa" w:w="9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w:t>
            </w:r>
          </w:p>
        </w:tc>
        <w:tc>
          <w:tcPr>
            <w:tcW w:type="dxa" w:w="2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/api/v1/contracts/:contract_id/terminate</w:t>
            </w:r>
          </w:p>
        </w:tc>
        <w:tc>
          <w:tcPr>
            <w:tcW w:type="dxa" w:w="2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ecoskiller:licensing:admin</w:t>
            </w:r>
          </w:p>
        </w:tc>
        <w:tc>
          <w:tcPr>
            <w:tcW w:type="dxa" w:w="34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Initiates termination. Async compliance check with Royalty Audit Service. Returns 202.</w:t>
            </w:r>
          </w:p>
        </w:tc>
      </w:tr>
    </w:tbl>
    <w:p>
      <w:pPr>
        <w:pStyle w:val="Heading1"/>
        <w:pBdr>
          <w:bottom w:val="single" w:color="4C1D95" w:sz="4" w:space="4"/>
        </w:pBdr>
        <w:spacing w:before="360" w:after="160"/>
      </w:pPr>
      <w:r>
        <w:rPr>
          <w:rFonts w:ascii="Arial" w:cs="Arial" w:eastAsia="Arial" w:hAnsi="Arial"/>
          <w:b/>
          <w:bCs/>
          <w:color w:val="4C1D95"/>
          <w:sz w:val="30"/>
          <w:szCs w:val="30"/>
        </w:rPr>
        <w:t xml:space="preserve">13. Deployment &amp; Operational Configuration</w:t>
      </w:r>
    </w:p>
    <w:p>
      <w:pPr>
        <w:spacing w:before="40" w:after="40"/>
      </w:pPr>
    </w:p>
    <w:p>
      <w:pPr>
        <w:pStyle w:val="Heading2"/>
        <w:spacing w:before="280" w:after="100"/>
      </w:pPr>
      <w:r>
        <w:rPr>
          <w:rFonts w:ascii="Arial" w:cs="Arial" w:eastAsia="Arial" w:hAnsi="Arial"/>
          <w:b/>
          <w:bCs/>
          <w:color w:val="0D7A5F"/>
          <w:sz w:val="24"/>
          <w:szCs w:val="24"/>
        </w:rPr>
        <w:t xml:space="preserve">13.1 Kubernetes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Resource</w:t>
            </w:r>
          </w:p>
        </w:tc>
        <w:tc>
          <w:tcPr>
            <w:tcW w:type="dxa" w:w="616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Value / Configuration</w:t>
            </w:r>
          </w:p>
        </w:tc>
      </w:tr>
      <w:tr>
        <w:tc>
          <w:tcPr>
            <w:tcW w:type="dxa" w:w="3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Deployment replicas (prod)</w:t>
            </w:r>
          </w:p>
        </w:tc>
        <w:tc>
          <w:tcPr>
            <w:tcW w:type="dxa" w:w="61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2 minimum — anti-affinity spread across GCP + AWS zones</w:t>
            </w:r>
          </w:p>
        </w:tc>
      </w:tr>
      <w:tr>
        <w:tc>
          <w:tcPr>
            <w:tcW w:type="dxa" w:w="3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HPA trigger (scale up)</w:t>
            </w:r>
          </w:p>
        </w:tc>
        <w:tc>
          <w:tcPr>
            <w:tcW w:type="dxa" w:w="61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REST request rate &gt; 50 req/s per pod OR Kafka lag &gt; 100 messages</w:t>
            </w:r>
          </w:p>
        </w:tc>
      </w:tr>
      <w:tr>
        <w:tc>
          <w:tcPr>
            <w:tcW w:type="dxa" w:w="3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Resource requests</w:t>
            </w:r>
          </w:p>
        </w:tc>
        <w:tc>
          <w:tcPr>
            <w:tcW w:type="dxa" w:w="61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CPU: 200m, Memory: 256Mi</w:t>
            </w:r>
          </w:p>
        </w:tc>
      </w:tr>
      <w:tr>
        <w:tc>
          <w:tcPr>
            <w:tcW w:type="dxa" w:w="3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Resource limits</w:t>
            </w:r>
          </w:p>
        </w:tc>
        <w:tc>
          <w:tcPr>
            <w:tcW w:type="dxa" w:w="61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CPU: 1000m, Memory: 512Mi</w:t>
            </w:r>
          </w:p>
        </w:tc>
      </w:tr>
      <w:tr>
        <w:tc>
          <w:tcPr>
            <w:tcW w:type="dxa" w:w="3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Liveness probe</w:t>
            </w:r>
          </w:p>
        </w:tc>
        <w:tc>
          <w:tcPr>
            <w:tcW w:type="dxa" w:w="61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 /health every 15s, timeout 5s, failure threshold 3</w:t>
            </w:r>
          </w:p>
        </w:tc>
      </w:tr>
      <w:tr>
        <w:tc>
          <w:tcPr>
            <w:tcW w:type="dxa" w:w="3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Readiness probe</w:t>
            </w:r>
          </w:p>
        </w:tc>
        <w:tc>
          <w:tcPr>
            <w:tcW w:type="dxa" w:w="61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GET /health every 10s, timeout 3s</w:t>
            </w:r>
          </w:p>
        </w:tc>
      </w:tr>
      <w:tr>
        <w:tc>
          <w:tcPr>
            <w:tcW w:type="dxa" w:w="32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 source</w:t>
            </w:r>
          </w:p>
        </w:tc>
        <w:tc>
          <w:tcPr>
            <w:tcW w:type="dxa" w:w="61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ConfigMap: licensing-contract-service-config (rate defaults, term limits, signature TTL)</w:t>
            </w:r>
          </w:p>
        </w:tc>
      </w:tr>
      <w:tr>
        <w:tc>
          <w:tcPr>
            <w:tcW w:type="dxa" w:w="32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Secrets source</w:t>
            </w:r>
          </w:p>
        </w:tc>
        <w:tc>
          <w:tcPr>
            <w:tcW w:type="dxa" w:w="61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Secrets: pg-credentials, redis-credentials, kafka-credentials, minio-credentials, keycloak-service-account (path: secret/{env}/royalty)</w:t>
            </w:r>
          </w:p>
        </w:tc>
      </w:tr>
    </w:tbl>
    <w:p>
      <w:pPr>
        <w:spacing w:before="40" w:after="40"/>
      </w:pPr>
    </w:p>
    <w:p>
      <w:pPr>
        <w:pStyle w:val="Heading2"/>
        <w:spacing w:before="280" w:after="100"/>
      </w:pPr>
      <w:r>
        <w:rPr>
          <w:rFonts w:ascii="Arial" w:cs="Arial" w:eastAsia="Arial" w:hAnsi="Arial"/>
          <w:b/>
          <w:bCs/>
          <w:color w:val="0D7A5F"/>
          <w:sz w:val="24"/>
          <w:szCs w:val="24"/>
        </w:rPr>
        <w:t xml:space="preserve">13.2 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Variable</w:t>
            </w:r>
          </w:p>
        </w:tc>
        <w:tc>
          <w:tcPr>
            <w:tcW w:type="dxa" w:w="180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Source</w:t>
            </w:r>
          </w:p>
        </w:tc>
        <w:tc>
          <w:tcPr>
            <w:tcW w:type="dxa" w:w="4560"/>
            <w:tcBorders>
              <w:top w:val="single" w:color="C4B5FD" w:sz="1"/>
              <w:left w:val="single" w:color="C4B5FD" w:sz="1"/>
              <w:bottom w:val="single" w:color="C4B5FD" w:sz="1"/>
              <w:right w:val="single" w:color="C4B5FD" w:sz="1"/>
            </w:tcBorders>
            <w:shd w:fill="4C1D95"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KAFKA_BROKERS</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 broker connection string</w:t>
            </w:r>
          </w:p>
        </w:tc>
      </w:tr>
      <w:tr>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POSTGRES_URI</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PostgreSQL connection — RLS-scoped licensing service user (royalty schema access only)</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REDIS_URL</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 connection URL for locks and cache</w:t>
            </w:r>
          </w:p>
        </w:tc>
      </w:tr>
      <w:tr>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MINIO_ENDPOINT</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MinIO internal endpoint for pre-signed URL generation</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MINIO_BUCKET_CONTRACTS</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ecoskiller-royalty-contracts-{tenant_id} — overridden per tenant at runtime</w:t>
            </w:r>
          </w:p>
        </w:tc>
      </w:tr>
      <w:tr>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KEYCLOAK_ISSUER_URL</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Keycloak realm URL for JWT validation</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KEYCLOAK_SERVICE_ACCOUNT_SECRET</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Service account credentials for internal API calls</w:t>
            </w:r>
          </w:p>
        </w:tc>
      </w:tr>
      <w:tr>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CLICKHOUSE_URL</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ClickHouse HTTP endpoint for royalty_audit_log inserts</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DEFAULT_MIN_ROYALTY_RATE</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Platform default minimum royalty rate, e.g., 0.0001 (0.01%)</w:t>
            </w:r>
          </w:p>
        </w:tc>
      </w:tr>
      <w:tr>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DEFAULT_MAX_ROYALTY_RATE</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Platform default maximum royalty rate, e.g., 0.0005 (0.05%)</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DEFAULT_MIN_TERM_YEARS</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Minimum licensing term in years (default: 10)</w:t>
            </w:r>
          </w:p>
        </w:tc>
      </w:tr>
      <w:tr>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DEFAULT_MAX_TERM_YEARS</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Maximum licensing term in years (default: 15)</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SIGNATURE_TTL_DAYS</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Days before unsigned party signature times out (default: 7)</w:t>
            </w:r>
          </w:p>
        </w:tc>
      </w:tr>
      <w:tr>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MINOR_CACHE_TTL_SECONDS</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Redis TTL for minor status flag cache (default: 3600)</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RATE_CONFIG_CACHE_TTL_SECONDS</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 TTL for platform rate config cache (default: 600)</w:t>
            </w:r>
          </w:p>
        </w:tc>
      </w:tr>
      <w:tr>
        <w:tc>
          <w:tcPr>
            <w:tcW w:type="dxa" w:w="30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SCHEMA_REGISTRY_URL</w:t>
            </w:r>
          </w:p>
        </w:tc>
        <w:tc>
          <w:tcPr>
            <w:tcW w:type="dxa" w:w="180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Apicurio Schema Registry URL for Kafka event schema validation</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JAEGER_ENDPOINT</w:t>
            </w:r>
          </w:p>
        </w:tc>
        <w:tc>
          <w:tcPr>
            <w:tcW w:type="dxa" w:w="1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OpenTelemetry collector endpoint for distributed tracing</w:t>
            </w:r>
          </w:p>
        </w:tc>
      </w:tr>
    </w:tbl>
    <w:sectPr>
      <w:footerReference w:type="default" r:id="rId6"/>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2" w:space="4"/>
      </w:pBdr>
      <w:tabs>
        <w:tab w:val="right" w:pos="9026"/>
      </w:tabs>
    </w:pPr>
    <w:r>
      <w:rPr>
        <w:rFonts w:ascii="Arial" w:cs="Arial" w:eastAsia="Arial" w:hAnsi="Arial"/>
        <w:color w:val="475569"/>
        <w:sz w:val="16"/>
        <w:szCs w:val="16"/>
      </w:rPr>
      <w:t xml:space="preserve">Ecoskiller Platform — licensing-contract-service — Module XIII Technical Reference v1.0</w:t>
    </w:r>
    <w:r>
      <w:rPr>
        <w:rFonts w:ascii="Arial" w:cs="Arial" w:eastAsia="Arial" w:hAnsi="Arial"/>
        <w:sz w:val="16"/>
        <w:szCs w:val="16"/>
      </w:rPr>
      <w:t xml:space="preserve">	</w:t>
    </w:r>
    <w:r>
      <w:rPr>
        <w:rFonts w:ascii="Arial" w:cs="Arial" w:eastAsia="Arial" w:hAnsi="Arial"/>
        <w:color w:val="475569"/>
        <w:sz w:val="16"/>
        <w:szCs w:val="16"/>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4C1D95"/>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0D7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2026-03-10T06:28:39.375Z</dcterms:created>
  <dcterms:modified xsi:type="dcterms:W3CDTF">2026-03-10T06:28:39.376Z</dcterms:modified>
</cp:coreProperties>
</file>

<file path=docProps/custom.xml><?xml version="1.0" encoding="utf-8"?>
<Properties xmlns="http://schemas.openxmlformats.org/officeDocument/2006/custom-properties" xmlns:vt="http://schemas.openxmlformats.org/officeDocument/2006/docPropsVTypes"/>
</file>