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Living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Living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Living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w:t>
            </w:r>
          </w:p>
        </w:tc>
        <w:tc>
          <w:tcPr>
            <w:tcW w:type="dxa" w:w="2420"/>
            <w:tcMar>
              <w:top w:w="45" w:type="dxa"/>
              <w:start w:w="120" w:type="dxa"/>
              <w:bottom w:w="45" w:type="dxa"/>
              <w:end w:w="120" w:type="dxa"/>
            </w:tcMar>
          </w:tcPr>
          <w:p>
            <w:r>
              <w:rPr>
                <w:rFonts w:ascii="Arial" w:hAnsi="Arial"/>
                <w:b w:val="0"/>
                <w:i w:val="0"/>
                <w:color w:val="1D1C19"/>
                <w:sz w:val="15"/>
              </w:rPr>
              <w:t>85% Agent / 15%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$12,000 annual Company Dollar cap</w:t>
            </w:r>
          </w:p>
        </w:tc>
      </w:tr>
    </w:tbl>
    <w:p>
      <w:pPr>
        <w:pStyle w:val="Heading2"/>
      </w:pPr>
      <w:r>
        <w:t>Plan terms</w:t>
      </w:r>
    </w:p>
    <w:p>
      <w:pPr>
        <w:pStyle w:val="ListBullet"/>
      </w:pPr>
      <w:r>
        <w:rPr>
          <w:rFonts w:ascii="Times New Roman" w:hAnsi="Times New Roman"/>
          <w:b w:val="0"/>
          <w:i w:val="0"/>
          <w:color w:val="1D1C19"/>
          <w:sz w:val="18"/>
        </w:rPr>
        <w:t>Solo: 85% Agent / 15% Company; $288 for 12 months or $500 for 24 months; $12,000 annual Company Dollar cap.</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Living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Living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t>[agent_address]</w:t>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t>[ica_effective_date]</w:t>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110 Charlton St #A, New York, NY 10014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Living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third-party listing-service or association fees applicable to Agent's practice,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Living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Living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Living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Living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Solo Agent Affiliation Agreement</dc:title>
  <dc:subject>Source-preserved two-entity Homix Agent agreement master</dc:subject>
  <dc:creator>Homix Living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