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Homix Living Inc. | Version 2.2-candidate | New York</w:t>
      </w:r>
    </w:p>
    <w:p>
      <w:pPr/>
      <w:r>
        <w:rPr>
          <w:rFonts w:ascii="Times New Roman" w:hAnsi="Times New Roman"/>
          <w:b w:val="0"/>
          <w:i w:val="0"/>
          <w:color w:val="1D1C19"/>
          <w:sz w:val="18"/>
        </w:rPr>
        <w:t>This Team Leader Agreement supplements Team Leader's completed Agent Affiliation Agreement for Homix Living Inc. and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t>[expected_member_count]</w:t>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t>[team_positioning]</w:t>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t>[compensation_plan]</w:t>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Team Leader personal-production plan (read-only): [compensation_plan]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t>[team_terms_effective_from]</w:t>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t>[team_split_pct]% of Agent Side</w:t>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t>[team_sourced_split_pct]% of Agent Side</w:t>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t>[team_cap_usd]</w:t>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t>[team_config_version]</w:t>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Homix Living Inc.,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t>[team_config_version]</w:t>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Si Zhang, Broker | sunnyz@homixny.com | Homix Living Inc.</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Team Leader Agreement</dc:title>
  <dc:subject>Two-entity Homix Team Leader agreement master</dc:subject>
  <dc:creator>Homix Living Inc.</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