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Living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Living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Living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 Pro</w:t>
            </w:r>
          </w:p>
        </w:tc>
        <w:tc>
          <w:tcPr>
            <w:tcW w:type="dxa" w:w="2420"/>
            <w:tcMar>
              <w:top w:w="45" w:type="dxa"/>
              <w:start w:w="120" w:type="dxa"/>
              <w:bottom w:w="45" w:type="dxa"/>
              <w:end w:w="120" w:type="dxa"/>
            </w:tcMar>
          </w:tcPr>
          <w:p>
            <w:r>
              <w:rPr>
                <w:rFonts w:ascii="Arial" w:hAnsi="Arial"/>
                <w:b w:val="0"/>
                <w:i w:val="0"/>
                <w:color w:val="1D1C19"/>
                <w:sz w:val="15"/>
              </w:rPr>
              <w:t>100% Agent / 0% Company split</w:t>
            </w:r>
          </w:p>
        </w:tc>
        <w:tc>
          <w:tcPr>
            <w:tcW w:type="dxa" w:w="2560"/>
            <w:tcMar>
              <w:top w:w="45" w:type="dxa"/>
              <w:start w:w="120" w:type="dxa"/>
              <w:bottom w:w="45" w:type="dxa"/>
              <w:end w:w="120" w:type="dxa"/>
            </w:tcMar>
          </w:tcPr>
          <w:p>
            <w:r>
              <w:rPr>
                <w:rFonts w:ascii="Arial" w:hAnsi="Arial"/>
                <w:b w:val="0"/>
                <w:i w:val="0"/>
                <w:color w:val="1D1C19"/>
                <w:sz w:val="15"/>
              </w:rPr>
              <w:t>$3,650 annual plan fee</w:t>
            </w:r>
          </w:p>
        </w:tc>
        <w:tc>
          <w:tcPr>
            <w:tcW w:type="dxa" w:w="2880"/>
            <w:tcMar>
              <w:top w:w="45" w:type="dxa"/>
              <w:start w:w="120" w:type="dxa"/>
              <w:bottom w:w="45" w:type="dxa"/>
              <w:end w:w="120" w:type="dxa"/>
            </w:tcMar>
          </w:tcPr>
          <w:p>
            <w:r>
              <w:rPr>
                <w:rFonts w:ascii="Arial" w:hAnsi="Arial"/>
                <w:b w:val="0"/>
                <w:i w:val="0"/>
                <w:color w:val="1D1C19"/>
                <w:sz w:val="15"/>
              </w:rPr>
              <w:t>Transaction fee schedule; no split cap</w:t>
            </w:r>
          </w:p>
        </w:tc>
      </w:tr>
    </w:tbl>
    <w:p>
      <w:pPr>
        <w:pStyle w:val="Heading2"/>
      </w:pPr>
      <w:r>
        <w:t>Plan terms</w:t>
      </w:r>
    </w:p>
    <w:p>
      <w:pPr>
        <w:pStyle w:val="ListBullet"/>
      </w:pPr>
      <w:r>
        <w:rPr>
          <w:rFonts w:ascii="Times New Roman" w:hAnsi="Times New Roman"/>
          <w:b w:val="0"/>
          <w:i w:val="0"/>
          <w:color w:val="1D1C19"/>
          <w:sz w:val="18"/>
        </w:rPr>
        <w:t>Solo Pro: 100% commission mode; $3,650 annual plan fee; transaction fee of $200 for a commission check between $10,000 and $30,000, $500 between $30,000 and $100,000, and $1,000 above $100,000.</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Living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Living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110 Charlton St #A, New York, NY 10014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Living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third-party listing-service or association fees applicable to Agent's practice,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Living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Living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Living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Living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Solo Pro Agent Affiliation Agreement</dc:title>
  <dc:subject>Source-preserved two-entity Homix Agent agreement master</dc:subject>
  <dc:creator>Homix Living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