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AGENT AFFILIATION AGREEMENT</w:t>
      </w:r>
    </w:p>
    <w:p>
      <w:pPr>
        <w:pStyle w:val="Subtitle"/>
        <w:jc w:val="center"/>
      </w:pPr>
      <w:r>
        <w:rPr>
          <w:rFonts w:ascii="Arial" w:hAnsi="Arial"/>
          <w:b w:val="0"/>
          <w:i w:val="0"/>
          <w:color w:val="6F6A61"/>
          <w:sz w:val="20"/>
        </w:rPr>
        <w:t>{{LEGAL_NAME}} | Version {{AGENT_VERSION}} | New York</w:t>
      </w:r>
    </w:p>
    <w:p>
      <w:pPr>
        <w:jc w:val="center"/>
      </w:pPr>
      <w:r>
        <w:rPr>
          <w:rFonts w:ascii="Times New Roman" w:hAnsi="Times New Roman"/>
          <w:b/>
          <w:i w:val="0"/>
          <w:color w:val="1D1C19"/>
          <w:sz w:val="18"/>
        </w:rPr>
        <w:t>LEGAL-REVIEW CANDIDATE - NOT FOR PRODUCTION SIGNING</w:t>
      </w:r>
    </w:p>
    <w:p>
      <w:pPr/>
      <w:r>
        <w:rPr>
          <w:rFonts w:ascii="Times New Roman" w:hAnsi="Times New Roman"/>
          <w:b w:val="0"/>
          <w:i w:val="0"/>
          <w:color w:val="1D1C19"/>
          <w:sz w:val="18"/>
        </w:rPr>
        <w:t>This Agent Affiliation Agreement (Agreement) is entered into by {{LEGAL_NAME}} (Company) and the licensed real estate salesperson or associate broker identified below (Agent). The Company is the only contracting brokerage in this document. The parties intend an independent-contractor relationship subject to New York law, Company supervision, and the terms below.</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{{LEGAL_NAME}}</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{{ADDRESS}}</w:t>
            </w:r>
          </w:p>
        </w:tc>
      </w:tr>
      <w:tr>
        <w:tc>
          <w:tcPr>
            <w:tcW w:type="dxa" w:w="1600"/>
            <w:shd w:fill="F4F1EA"/>
            <w:vAlign w:val="center"/>
          </w:tcPr>
          <w:p>
            <w:r>
              <w:rPr>
                <w:rFonts w:ascii="Arial" w:hAnsi="Arial"/>
                <w:b/>
                <w:i w:val="0"/>
                <w:color w:val="6F6A61"/>
                <w:sz w:val="15"/>
              </w:rPr>
              <w:t>Agent legal name</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Portal agent ID</w:t>
            </w:r>
          </w:p>
        </w:tc>
        <w:tc>
          <w:tcPr>
            <w:tcW w:type="dxa" w:w="3080"/>
            <w:vAlign w:val="center"/>
          </w:tcPr>
          <w:p>
            <w:r>
              <w:rPr>
                <w:rFonts w:ascii="Arial" w:hAnsi="Arial"/>
                <w:b w:val="0"/>
                <w:i w:val="0"/>
                <w:color w:val="1D1C19"/>
                <w:sz w:val="16"/>
              </w:rPr>
              <w:t>[agent_id]</w:t>
            </w:r>
          </w:p>
        </w:tc>
      </w:tr>
      <w:tr>
        <w:tc>
          <w:tcPr>
            <w:tcW w:type="dxa" w:w="1600"/>
            <w:shd w:fill="F4F1EA"/>
            <w:vAlign w:val="center"/>
          </w:tcPr>
          <w:p>
            <w:r>
              <w:rPr>
                <w:rFonts w:ascii="Arial" w:hAnsi="Arial"/>
                <w:b/>
                <w:i w:val="0"/>
                <w:color w:val="6F6A61"/>
                <w:sz w:val="15"/>
              </w:rPr>
              <w:t>Login / contact email</w:t>
            </w:r>
          </w:p>
        </w:tc>
        <w:tc>
          <w:tcPr>
            <w:tcW w:type="dxa" w:w="3080"/>
            <w:vAlign w:val="center"/>
          </w:tcPr>
          <w:p>
            <w:r>
              <w:rPr>
                <w:rFonts w:ascii="Arial" w:hAnsi="Arial"/>
                <w:b w:val="0"/>
                <w:i w:val="0"/>
                <w:color w:val="1D1C19"/>
                <w:sz w:val="16"/>
              </w:rPr>
              <w:t>[agent_email]</w:t>
            </w:r>
          </w:p>
        </w:tc>
        <w:tc>
          <w:tcPr>
            <w:tcW w:type="dxa" w:w="1600"/>
            <w:shd w:fill="F4F1EA"/>
            <w:vAlign w:val="center"/>
          </w:tcPr>
          <w:p>
            <w:r>
              <w:rPr>
                <w:rFonts w:ascii="Arial" w:hAnsi="Arial"/>
                <w:b/>
                <w:i w:val="0"/>
                <w:color w:val="6F6A61"/>
                <w:sz w:val="15"/>
              </w:rPr>
              <w:t>Phone</w:t>
            </w:r>
          </w:p>
        </w:tc>
        <w:tc>
          <w:tcPr>
            <w:tcW w:type="dxa" w:w="3080"/>
            <w:vAlign w:val="center"/>
          </w:tcPr>
          <w:p>
            <w:r>
              <w:rPr>
                <w:rFonts w:ascii="Arial" w:hAnsi="Arial"/>
                <w:b w:val="0"/>
                <w:i w:val="0"/>
                <w:color w:val="1D1C19"/>
                <w:sz w:val="16"/>
              </w:rPr>
              <w:t>[agent_phone]</w:t>
            </w:r>
          </w:p>
        </w:tc>
      </w:tr>
      <w:tr>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t>[license_number]</w:t>
            </w:r>
          </w:p>
        </w:tc>
        <w:tc>
          <w:tcPr>
            <w:tcW w:type="dxa" w:w="1600"/>
            <w:shd w:fill="F4F1EA"/>
            <w:vAlign w:val="center"/>
          </w:tcPr>
          <w:p>
            <w:r>
              <w:rPr>
                <w:rFonts w:ascii="Arial" w:hAnsi="Arial"/>
                <w:b/>
                <w:i w:val="0"/>
                <w:color w:val="6F6A61"/>
                <w:sz w:val="15"/>
              </w:rPr>
              <w:t>Practice</w:t>
            </w:r>
          </w:p>
        </w:tc>
        <w:tc>
          <w:tcPr>
            <w:tcW w:type="dxa" w:w="3080"/>
            <w:vAlign w:val="center"/>
          </w:tcPr>
          <w:p>
            <w:r>
              <w:rPr>
                <w:rFonts w:ascii="Arial" w:hAnsi="Arial"/>
                <w:b w:val="0"/>
                <w:i w:val="0"/>
                <w:color w:val="1D1C19"/>
                <w:sz w:val="16"/>
              </w:rPr>
              <w:t>[practice]</w:t>
            </w:r>
          </w:p>
        </w:tc>
      </w:tr>
      <w:tr>
        <w:tc>
          <w:tcPr>
            <w:tcW w:type="dxa" w:w="1600"/>
            <w:shd w:fill="F4F1EA"/>
            <w:vAlign w:val="center"/>
          </w:tcPr>
          <w:p>
            <w:r>
              <w:rPr>
                <w:rFonts w:ascii="Arial" w:hAnsi="Arial"/>
                <w:b/>
                <w:i w:val="0"/>
                <w:color w:val="6F6A61"/>
                <w:sz w:val="15"/>
              </w:rPr>
              <w:t>Selected plan</w:t>
            </w:r>
          </w:p>
        </w:tc>
        <w:tc>
          <w:tcPr>
            <w:tcW w:type="dxa" w:w="3080"/>
            <w:vAlign w:val="center"/>
          </w:tcPr>
          <w:p>
            <w:r>
              <w:rPr>
                <w:rFonts w:ascii="Arial" w:hAnsi="Arial"/>
                <w:b w:val="0"/>
                <w:i w:val="0"/>
                <w:color w:val="1D1C19"/>
                <w:sz w:val="16"/>
              </w:rPr>
              <w:t>[compensation_plan]</w:t>
            </w:r>
          </w:p>
        </w:tc>
        <w:tc>
          <w:tcPr>
            <w:tcW w:type="dxa" w:w="1600"/>
            <w:shd w:fill="F4F1EA"/>
            <w:vAlign w:val="center"/>
          </w:tcPr>
          <w:p>
            <w:r>
              <w:rPr>
                <w:rFonts w:ascii="Arial" w:hAnsi="Arial"/>
                <w:b/>
                <w:i w:val="0"/>
                <w:color w:val="6F6A61"/>
                <w:sz w:val="15"/>
              </w:rPr>
              <w:t>Affiliation term</w:t>
            </w:r>
          </w:p>
        </w:tc>
        <w:tc>
          <w:tcPr>
            <w:tcW w:type="dxa" w:w="3080"/>
            <w:vAlign w:val="center"/>
          </w:tcPr>
          <w:p>
            <w:r>
              <w:rPr>
                <w:rFonts w:ascii="Arial" w:hAnsi="Arial"/>
                <w:b w:val="0"/>
                <w:i w:val="0"/>
                <w:color w:val="1D1C19"/>
                <w:sz w:val="16"/>
              </w:rPr>
              <w:t>[affiliation_term_months] months</w:t>
            </w:r>
          </w:p>
        </w:tc>
      </w:tr>
      <w:tr>
        <w:tc>
          <w:tcPr>
            <w:tcW w:type="dxa" w:w="1600"/>
            <w:shd w:fill="F4F1EA"/>
            <w:vAlign w:val="center"/>
          </w:tcPr>
          <w:p>
            <w:r>
              <w:rPr>
                <w:rFonts w:ascii="Arial" w:hAnsi="Arial"/>
                <w:b/>
                <w:i w:val="0"/>
                <w:color w:val="6F6A61"/>
                <w:sz w:val="15"/>
              </w:rPr>
              <w:t>Sponsor</w:t>
            </w:r>
          </w:p>
        </w:tc>
        <w:tc>
          <w:tcPr>
            <w:tcW w:type="dxa" w:w="3080"/>
            <w:vAlign w:val="center"/>
          </w:tcPr>
          <w:p>
            <w:r>
              <w:rPr>
                <w:rFonts w:ascii="Arial" w:hAnsi="Arial"/>
                <w:b w:val="0"/>
                <w:i w:val="0"/>
                <w:color w:val="1D1C19"/>
                <w:sz w:val="16"/>
              </w:rPr>
              <w:t>[sponsor_name]</w:t>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t>[team_name]</w:t>
            </w:r>
          </w:p>
        </w:tc>
      </w:tr>
    </w:tbl>
    <w:p>
      <w:pPr>
        <w:pStyle w:val="Heading1"/>
      </w:pPr>
      <w:r>
        <w:t>1. Agreement structure</w:t>
      </w:r>
    </w:p>
    <w:p>
      <w:pPr>
        <w:pStyle w:val="ListBullet"/>
      </w:pPr>
      <w:r>
        <w:rPr>
          <w:rFonts w:ascii="Times New Roman" w:hAnsi="Times New Roman"/>
          <w:b w:val="0"/>
          <w:i w:val="0"/>
          <w:color w:val="1D1C19"/>
          <w:sz w:val="18"/>
        </w:rPr>
        <w:t>Page 2 records the locked compensation election and required acknowledgement.</w:t>
      </w:r>
    </w:p>
    <w:p>
      <w:pPr>
        <w:pStyle w:val="ListBullet"/>
      </w:pPr>
      <w:r>
        <w:rPr>
          <w:rFonts w:ascii="Times New Roman" w:hAnsi="Times New Roman"/>
          <w:b w:val="0"/>
          <w:i w:val="0"/>
          <w:color w:val="1D1C19"/>
          <w:sz w:val="18"/>
        </w:rPr>
        <w:t>Pages 3-5 contain the Independent Contractor Agreement and execution page.</w:t>
      </w:r>
    </w:p>
    <w:p>
      <w:pPr>
        <w:pStyle w:val="ListBullet"/>
      </w:pPr>
      <w:r>
        <w:rPr>
          <w:rFonts w:ascii="Times New Roman" w:hAnsi="Times New Roman"/>
          <w:b w:val="0"/>
          <w:i w:val="0"/>
          <w:color w:val="1D1C19"/>
          <w:sz w:val="18"/>
        </w:rPr>
        <w:t>Pages 6-7 contain confidentiality and non-disclosure terms and execution page.</w:t>
      </w:r>
    </w:p>
    <w:p>
      <w:pPr>
        <w:pStyle w:val="ListBullet"/>
      </w:pPr>
      <w:r>
        <w:rPr>
          <w:rFonts w:ascii="Times New Roman" w:hAnsi="Times New Roman"/>
          <w:b w:val="0"/>
          <w:i w:val="0"/>
          <w:color w:val="1D1C19"/>
          <w:sz w:val="18"/>
        </w:rPr>
        <w:t>A company-specific association appendix appears only when required for the selected legal entity.</w:t>
      </w:r>
    </w:p>
    <w:p>
      <w:pPr>
        <w:pStyle w:val="Heading1"/>
      </w:pPr>
      <w:r>
        <w:t>2. Effective date and prerequisites</w:t>
      </w:r>
    </w:p>
    <w:p>
      <w:pPr/>
      <w:r>
        <w:rPr>
          <w:rFonts w:ascii="Times New Roman" w:hAnsi="Times New Roman"/>
          <w:b w:val="0"/>
          <w:i w:val="0"/>
          <w:color w:val="1D1C19"/>
          <w:sz w:val="18"/>
        </w:rPr>
        <w:t>This Agreement is not effective until Agent completes all required fields and signatures, Company countersigns after administrator compliance review, required payment is recorded, and Company approves affiliation. Portal-populated company, plan, Sponsor, Team, and term facts are read-only. A material change requires revalidation and, when applicable, a new agreement or addendum.</w:t>
      </w:r>
    </w:p>
    <w:p>
      <w:pPr>
        <w:pStyle w:val="LegalSmall"/>
      </w:pPr>
      <w:r>
        <w:rPr>
          <w:rFonts w:ascii="Arial" w:hAnsi="Arial"/>
          <w:b w:val="0"/>
          <w:i w:val="0"/>
          <w:color w:val="6F6A61"/>
          <w:sz w:val="15"/>
        </w:rPr>
        <w:t>This candidate consolidates the Company's previously reviewed enrollment terms and approved compensation workflow. Company counsel must approve this edition before publication.</w:t>
      </w:r>
    </w:p>
    <w:p>
      <w:r>
        <w:br w:type="page"/>
      </w:r>
    </w:p>
    <w:p>
      <w:pPr>
        <w:spacing w:after="40"/>
      </w:pPr>
      <w:r>
        <w:rPr>
          <w:rFonts w:ascii="Arial" w:hAnsi="Arial"/>
          <w:b/>
          <w:i w:val="0"/>
          <w:color w:val="98623C"/>
          <w:sz w:val="15"/>
        </w:rPr>
        <w:t>PAGE 2 | REQUIRED PLAN ACKNOWLEDGEMENT</w:t>
      </w:r>
    </w:p>
    <w:p>
      <w:pPr>
        <w:pStyle w:val="Heading1"/>
      </w:pPr>
      <w:r>
        <w:t>Compensation election and payment terms</w:t>
      </w:r>
    </w:p>
    <w:p>
      <w:pPr/>
      <w:r>
        <w:rPr>
          <w:rFonts w:ascii="Times New Roman" w:hAnsi="Times New Roman"/>
          <w:b/>
          <w:i w:val="0"/>
          <w:color w:val="1D1C19"/>
          <w:sz w:val="18"/>
        </w:rPr>
        <w:t>Selected compensation plan (read-only): [compensation_plan]</w:t>
      </w:r>
    </w:p>
    <w:tbl>
      <w:tblPr>
        <w:tblW w:type="dxa" w:w="9360"/>
        <w:jc w:val="left"/>
        <w:tblLayout w:type="fixed"/>
        <w:tblLook w:firstColumn="1" w:firstRow="1" w:lastColumn="0" w:lastRow="0" w:noHBand="0" w:noVBand="1" w:val="04A0"/>
        <w:tblInd w:w="120" w:type="dxa"/>
      </w:tblPr>
      <w:tblGrid>
        <w:gridCol w:w="1500"/>
        <w:gridCol w:w="2420"/>
        <w:gridCol w:w="2560"/>
        <w:gridCol w:w="2880"/>
      </w:tblGrid>
      <w:tr>
        <w:tc>
          <w:tcPr>
            <w:tcW w:type="dxa" w:w="1500"/>
            <w:tcMar>
              <w:top w:w="80" w:type="dxa"/>
              <w:start w:w="120" w:type="dxa"/>
              <w:bottom w:w="80" w:type="dxa"/>
              <w:end w:w="120" w:type="dxa"/>
            </w:tcMar>
            <w:shd w:fill="F4F1EA"/>
          </w:tcPr>
          <w:p>
            <w:r>
              <w:rPr>
                <w:rFonts w:ascii="Arial" w:hAnsi="Arial"/>
                <w:b/>
                <w:i w:val="0"/>
                <w:color w:val="1D1C19"/>
                <w:sz w:val="15"/>
              </w:rPr>
              <w:t>Plan</w:t>
            </w:r>
          </w:p>
        </w:tc>
        <w:tc>
          <w:tcPr>
            <w:tcW w:type="dxa" w:w="2420"/>
            <w:tcMar>
              <w:top w:w="80" w:type="dxa"/>
              <w:start w:w="120" w:type="dxa"/>
              <w:bottom w:w="80" w:type="dxa"/>
              <w:end w:w="120" w:type="dxa"/>
            </w:tcMar>
            <w:shd w:fill="F4F1EA"/>
          </w:tcPr>
          <w:p>
            <w:r>
              <w:rPr>
                <w:rFonts w:ascii="Arial" w:hAnsi="Arial"/>
                <w:b/>
                <w:i w:val="0"/>
                <w:color w:val="1D1C19"/>
                <w:sz w:val="15"/>
              </w:rPr>
              <w:t>Company economics</w:t>
            </w:r>
          </w:p>
        </w:tc>
        <w:tc>
          <w:tcPr>
            <w:tcW w:type="dxa" w:w="2560"/>
            <w:tcMar>
              <w:top w:w="80" w:type="dxa"/>
              <w:start w:w="120" w:type="dxa"/>
              <w:bottom w:w="80" w:type="dxa"/>
              <w:end w:w="120" w:type="dxa"/>
            </w:tcMar>
            <w:shd w:fill="F4F1EA"/>
          </w:tcPr>
          <w:p>
            <w:r>
              <w:rPr>
                <w:rFonts w:ascii="Arial" w:hAnsi="Arial"/>
                <w:b/>
                <w:i w:val="0"/>
                <w:color w:val="1D1C19"/>
                <w:sz w:val="15"/>
              </w:rPr>
              <w:t>Affiliation fee</w:t>
            </w:r>
          </w:p>
        </w:tc>
        <w:tc>
          <w:tcPr>
            <w:tcW w:type="dxa" w:w="2880"/>
            <w:tcMar>
              <w:top w:w="80" w:type="dxa"/>
              <w:start w:w="120" w:type="dxa"/>
              <w:bottom w:w="80" w:type="dxa"/>
              <w:end w:w="120" w:type="dxa"/>
            </w:tcMar>
            <w:shd w:fill="F4F1EA"/>
          </w:tcPr>
          <w:p>
            <w:r>
              <w:rPr>
                <w:rFonts w:ascii="Arial" w:hAnsi="Arial"/>
                <w:b/>
                <w:i w:val="0"/>
                <w:color w:val="1D1C19"/>
                <w:sz w:val="15"/>
              </w:rPr>
              <w:t>Cap / transaction rule</w:t>
            </w:r>
          </w:p>
        </w:tc>
      </w:tr>
      <w:tr>
        <w:tc>
          <w:tcPr>
            <w:tcW w:type="dxa" w:w="1500"/>
          </w:tcPr>
          <w:p>
            <w:r>
              <w:rPr>
                <w:rFonts w:ascii="Arial" w:hAnsi="Arial"/>
                <w:b/>
                <w:i w:val="0"/>
                <w:color w:val="536B3A"/>
                <w:sz w:val="15"/>
              </w:rPr>
              <w:t>SOLO</w:t>
            </w:r>
          </w:p>
        </w:tc>
        <w:tc>
          <w:tcPr>
            <w:tcW w:type="dxa" w:w="2420"/>
          </w:tcPr>
          <w:p>
            <w:r>
              <w:rPr>
                <w:rFonts w:ascii="Arial" w:hAnsi="Arial"/>
                <w:b w:val="0"/>
                <w:i w:val="0"/>
                <w:color w:val="1D1C19"/>
                <w:sz w:val="15"/>
              </w:rPr>
              <w:t>85% Agent / 15% Company</w:t>
            </w:r>
          </w:p>
        </w:tc>
        <w:tc>
          <w:tcPr>
            <w:tcW w:type="dxa" w:w="2560"/>
          </w:tcPr>
          <w:p>
            <w:r>
              <w:rPr>
                <w:rFonts w:ascii="Arial" w:hAnsi="Arial"/>
                <w:b w:val="0"/>
                <w:i w:val="0"/>
                <w:color w:val="1D1C19"/>
                <w:sz w:val="15"/>
              </w:rPr>
              <w:t>$288 / 12 months or $500 / 24 months</w:t>
            </w:r>
          </w:p>
        </w:tc>
        <w:tc>
          <w:tcPr>
            <w:tcW w:type="dxa" w:w="2880"/>
          </w:tcPr>
          <w:p>
            <w:r>
              <w:rPr>
                <w:rFonts w:ascii="Arial" w:hAnsi="Arial"/>
                <w:b w:val="0"/>
                <w:i w:val="0"/>
                <w:color w:val="1D1C19"/>
                <w:sz w:val="15"/>
              </w:rPr>
              <w:t>$12,000 annual Company Dollar cap</w:t>
            </w:r>
          </w:p>
        </w:tc>
      </w:tr>
      <w:tr>
        <w:tc>
          <w:tcPr>
            <w:tcW w:type="dxa" w:w="1500"/>
          </w:tcPr>
          <w:p>
            <w:r>
              <w:rPr>
                <w:rFonts w:ascii="Arial" w:hAnsi="Arial"/>
                <w:b/>
                <w:i w:val="0"/>
                <w:color w:val="536B3A"/>
                <w:sz w:val="15"/>
              </w:rPr>
              <w:t>SOLO PRO</w:t>
            </w:r>
          </w:p>
        </w:tc>
        <w:tc>
          <w:tcPr>
            <w:tcW w:type="dxa" w:w="2420"/>
          </w:tcPr>
          <w:p>
            <w:r>
              <w:rPr>
                <w:rFonts w:ascii="Arial" w:hAnsi="Arial"/>
                <w:b w:val="0"/>
                <w:i w:val="0"/>
                <w:color w:val="1D1C19"/>
                <w:sz w:val="15"/>
              </w:rPr>
              <w:t>100% commission mode</w:t>
            </w:r>
          </w:p>
        </w:tc>
        <w:tc>
          <w:tcPr>
            <w:tcW w:type="dxa" w:w="2560"/>
          </w:tcPr>
          <w:p>
            <w:r>
              <w:rPr>
                <w:rFonts w:ascii="Arial" w:hAnsi="Arial"/>
                <w:b w:val="0"/>
                <w:i w:val="0"/>
                <w:color w:val="1D1C19"/>
                <w:sz w:val="15"/>
              </w:rPr>
              <w:t>$3,650 annual plan fee</w:t>
            </w:r>
          </w:p>
        </w:tc>
        <w:tc>
          <w:tcPr>
            <w:tcW w:type="dxa" w:w="2880"/>
          </w:tcPr>
          <w:p>
            <w:r>
              <w:rPr>
                <w:rFonts w:ascii="Arial" w:hAnsi="Arial"/>
                <w:b w:val="0"/>
                <w:i w:val="0"/>
                <w:color w:val="1D1C19"/>
                <w:sz w:val="15"/>
              </w:rPr>
              <w:t>Transaction fee from first closing; no split cap</w:t>
            </w:r>
          </w:p>
        </w:tc>
      </w:tr>
      <w:tr>
        <w:tc>
          <w:tcPr>
            <w:tcW w:type="dxa" w:w="1500"/>
          </w:tcPr>
          <w:p>
            <w:r>
              <w:rPr>
                <w:rFonts w:ascii="Arial" w:hAnsi="Arial"/>
                <w:b/>
                <w:i w:val="0"/>
                <w:color w:val="536B3A"/>
                <w:sz w:val="15"/>
              </w:rPr>
              <w:t>TEAM MEMBER</w:t>
            </w:r>
          </w:p>
        </w:tc>
        <w:tc>
          <w:tcPr>
            <w:tcW w:type="dxa" w:w="2420"/>
          </w:tcPr>
          <w:p>
            <w:r>
              <w:rPr>
                <w:rFonts w:ascii="Arial" w:hAnsi="Arial"/>
                <w:b w:val="0"/>
                <w:i w:val="0"/>
                <w:color w:val="1D1C19"/>
                <w:sz w:val="15"/>
              </w:rPr>
              <w:t>90% Agent Side / 10% Company</w:t>
            </w:r>
          </w:p>
        </w:tc>
        <w:tc>
          <w:tcPr>
            <w:tcW w:type="dxa" w:w="2560"/>
          </w:tcPr>
          <w:p>
            <w:r>
              <w:rPr>
                <w:rFonts w:ascii="Arial" w:hAnsi="Arial"/>
                <w:b w:val="0"/>
                <w:i w:val="0"/>
                <w:color w:val="1D1C19"/>
                <w:sz w:val="15"/>
              </w:rPr>
              <w:t>$288 / 12 months or $500 / 24 months</w:t>
            </w:r>
          </w:p>
        </w:tc>
        <w:tc>
          <w:tcPr>
            <w:tcW w:type="dxa" w:w="2880"/>
          </w:tcPr>
          <w:p>
            <w:r>
              <w:rPr>
                <w:rFonts w:ascii="Arial" w:hAnsi="Arial"/>
                <w:b w:val="0"/>
                <w:i w:val="0"/>
                <w:color w:val="1D1C19"/>
                <w:sz w:val="15"/>
              </w:rPr>
              <w:t>$10,000 Company cap; Team terms separate</w:t>
            </w:r>
          </w:p>
        </w:tc>
      </w:tr>
    </w:tbl>
    <w:p>
      <w:pPr>
        <w:pStyle w:val="LegalSmall"/>
      </w:pPr>
      <w:r>
        <w:rPr>
          <w:rFonts w:ascii="Arial" w:hAnsi="Arial"/>
          <w:b w:val="0"/>
          <w:i w:val="0"/>
          <w:color w:val="6F6A61"/>
          <w:sz w:val="15"/>
        </w:rPr>
        <w:t>Non-Producing is an operating status under Solo, not a fourth plan. Legacy Holding elections are treated as Solo. Team Leader is a role requiring a separate Team Leader Agreement and Solo Pro.</w:t>
      </w:r>
    </w:p>
    <w:p>
      <w:pPr>
        <w:pStyle w:val="Heading2"/>
      </w:pPr>
      <w:r>
        <w:t>Calculation order</w:t>
      </w:r>
    </w:p>
    <w:p>
      <w:pPr/>
      <w:r>
        <w:rPr>
          <w:rFonts w:ascii="Times New Roman" w:hAnsi="Times New Roman"/>
          <w:b w:val="0"/>
          <w:i w:val="0"/>
          <w:color w:val="1D1C19"/>
          <w:sz w:val="18"/>
        </w:rPr>
        <w:t>Each closing is calculated in this order: Gross Commission; approved outside referral or Homix source economics; Company Dollar or applicable 100% mode Transaction Fee; approved Team Economics; agent-funded rebate or approved rebate program; and final settlement. Team Split is a percentage of Agent Side after Company Dollar. Company Cap and Team Cap are separate ledgers.</w:t>
      </w:r>
    </w:p>
    <w:p>
      <w:pPr>
        <w:pStyle w:val="Heading2"/>
      </w:pPr>
      <w:r>
        <w:t>Transaction fee in 100% mode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Commission check up to $30,000</w:t>
            </w:r>
          </w:p>
        </w:tc>
        <w:tc>
          <w:tcPr>
            <w:tcW w:type="dxa" w:w="3080"/>
            <w:vAlign w:val="center"/>
          </w:tcPr>
          <w:p>
            <w:r>
              <w:rPr>
                <w:rFonts w:ascii="Arial" w:hAnsi="Arial"/>
                <w:b w:val="0"/>
                <w:i w:val="0"/>
                <w:color w:val="1D1C19"/>
                <w:sz w:val="16"/>
              </w:rPr>
              <w:t>$200</w:t>
            </w:r>
          </w:p>
        </w:tc>
        <w:tc>
          <w:tcPr>
            <w:tcW w:type="dxa" w:w="1600"/>
            <w:shd w:fill="F4F1EA"/>
            <w:vAlign w:val="center"/>
          </w:tcPr>
          <w:p>
            <w:r>
              <w:rPr>
                <w:rFonts w:ascii="Arial" w:hAnsi="Arial"/>
                <w:b/>
                <w:i w:val="0"/>
                <w:color w:val="6F6A61"/>
                <w:sz w:val="15"/>
              </w:rPr>
              <w:t>$30,000.01 to $100,000</w:t>
            </w:r>
          </w:p>
        </w:tc>
        <w:tc>
          <w:tcPr>
            <w:tcW w:type="dxa" w:w="3080"/>
            <w:vAlign w:val="center"/>
          </w:tcPr>
          <w:p>
            <w:r>
              <w:rPr>
                <w:rFonts w:ascii="Arial" w:hAnsi="Arial"/>
                <w:b w:val="0"/>
                <w:i w:val="0"/>
                <w:color w:val="1D1C19"/>
                <w:sz w:val="16"/>
              </w:rPr>
              <w:t>$500</w:t>
            </w:r>
          </w:p>
        </w:tc>
      </w:tr>
      <w:tr>
        <w:tc>
          <w:tcPr>
            <w:tcW w:type="dxa" w:w="1600"/>
            <w:shd w:fill="F4F1EA"/>
            <w:vAlign w:val="center"/>
          </w:tcPr>
          <w:p>
            <w:r>
              <w:rPr>
                <w:rFonts w:ascii="Arial" w:hAnsi="Arial"/>
                <w:b/>
                <w:i w:val="0"/>
                <w:color w:val="6F6A61"/>
                <w:sz w:val="15"/>
              </w:rPr>
              <w:t>Over $100,000</w:t>
            </w:r>
          </w:p>
        </w:tc>
        <w:tc>
          <w:tcPr>
            <w:tcW w:type="dxa" w:w="3080"/>
            <w:vAlign w:val="center"/>
          </w:tcPr>
          <w:p>
            <w:r>
              <w:rPr>
                <w:rFonts w:ascii="Arial" w:hAnsi="Arial"/>
                <w:b w:val="0"/>
                <w:i w:val="0"/>
                <w:color w:val="1D1C19"/>
                <w:sz w:val="16"/>
              </w:rPr>
              <w:t>$1,000</w:t>
            </w:r>
          </w:p>
        </w:tc>
        <w:tc>
          <w:tcPr>
            <w:tcW w:type="dxa" w:w="1600"/>
            <w:shd w:fill="F4F1EA"/>
            <w:vAlign w:val="center"/>
          </w:tcPr>
          <w:p>
            <w:r>
              <w:rPr>
                <w:rFonts w:ascii="Arial" w:hAnsi="Arial"/>
                <w:b/>
                <w:i w:val="0"/>
                <w:color w:val="6F6A61"/>
                <w:sz w:val="15"/>
              </w:rPr>
              <w:t>Cap-crossing closing</w:t>
            </w:r>
          </w:p>
        </w:tc>
        <w:tc>
          <w:tcPr>
            <w:tcW w:type="dxa" w:w="3080"/>
            <w:vAlign w:val="center"/>
          </w:tcPr>
          <w:p>
            <w:r>
              <w:rPr>
                <w:rFonts w:ascii="Arial" w:hAnsi="Arial"/>
                <w:b w:val="0"/>
                <w:i w:val="0"/>
                <w:color w:val="1D1C19"/>
                <w:sz w:val="16"/>
              </w:rPr>
              <w:t>No fee on the same closing</w:t>
            </w:r>
          </w:p>
        </w:tc>
      </w:tr>
    </w:tbl>
    <w:p>
      <w:pPr>
        <w:pStyle w:val="Heading2"/>
      </w:pPr>
      <w:r>
        <w:t>Sponsor and Team economics</w:t>
      </w:r>
    </w:p>
    <w:p>
      <w:pPr/>
      <w:r>
        <w:rPr>
          <w:rFonts w:ascii="Times New Roman" w:hAnsi="Times New Roman"/>
          <w:b w:val="0"/>
          <w:i w:val="0"/>
          <w:color w:val="1D1C19"/>
          <w:sz w:val="18"/>
        </w:rPr>
        <w:t>Sponsor Reward and Team Split are distinct obligations. One person may be both Sponsor and Team Leader and, when qualified, receive both separately. Sponsor Reward is calculated from eligible Company-owned revenue under the current Sponsor program; it does not reduce Agent commission or cap credit. No earnings, closing, lead, or continued program availability is guaranteed.</w:t>
      </w:r>
    </w:p>
    <w:p>
      <w:r>
        <w:rPr>
          <w:rFonts w:ascii="Arial" w:hAnsi="Arial"/>
          <w:b/>
          <w:i w:val="0"/>
          <w:color w:val="536B3A"/>
          <w:sz w:val="20"/>
        </w:rPr>
        <w:t xml:space="preserve">[  ] </w:t>
      </w:r>
      <w:r>
        <w:rPr>
          <w:rFonts w:ascii="Arial" w:hAnsi="Arial"/>
          <w:b/>
          <w:i w:val="0"/>
          <w:color w:val="1D1C19"/>
          <w:sz w:val="17"/>
        </w:rPr>
        <w:t>I reviewed the selected plan, fees, Company Cap, Team terms if applicable, transaction fees, and Sponsor disclosure, and I authorize Portal to freeze these facts for this agreement.</w:t>
      </w:r>
    </w:p>
    <w:p>
      <w:pPr/>
      <w:r>
        <w:rPr>
          <w:rFonts w:ascii="Times New Roman" w:hAnsi="Times New Roman"/>
          <w:b/>
          <w:i w:val="0"/>
          <w:color w:val="1D1C19"/>
          <w:sz w:val="18"/>
        </w:rPr>
        <w:t>Agent plan signature: __________________________________    Date: __________________</w:t>
      </w:r>
    </w:p>
    <w:p>
      <w:r>
        <w:br w:type="page"/>
      </w:r>
    </w:p>
    <w:p>
      <w:pPr>
        <w:spacing w:after="40"/>
      </w:pPr>
      <w:r>
        <w:rPr>
          <w:rFonts w:ascii="Arial" w:hAnsi="Arial"/>
          <w:b/>
          <w:i w:val="0"/>
          <w:color w:val="98623C"/>
          <w:sz w:val="15"/>
        </w:rPr>
        <w:t>PAGE 3 | ICA</w:t>
      </w:r>
    </w:p>
    <w:p>
      <w:pPr>
        <w:pStyle w:val="Heading1"/>
      </w:pPr>
      <w:r>
        <w:t>Independent Contractor Agreement - core duties</w:t>
      </w:r>
    </w:p>
    <w:p>
      <w:pPr>
        <w:pStyle w:val="Heading2"/>
      </w:pPr>
      <w:r>
        <w:t>1. Independent contractor relationship</w:t>
      </w:r>
    </w:p>
    <w:p>
      <w:pPr/>
      <w:r>
        <w:rPr>
          <w:rFonts w:ascii="Times New Roman" w:hAnsi="Times New Roman"/>
          <w:b w:val="0"/>
          <w:i w:val="0"/>
          <w:color w:val="1D1C19"/>
          <w:sz w:val="18"/>
        </w:rPr>
        <w:t>Agent is an independent contractor and not an employee, partner, franchisee, or joint venturer of Company. Agent controls lawful business activity subject to brokerage supervision, legal requirements, transaction deadlines, and Company policies. Nothing authorizes Agent to bind Company, hold client funds personally, practice law, or make guarantees for Company.</w:t>
      </w:r>
    </w:p>
    <w:p>
      <w:pPr>
        <w:pStyle w:val="Heading2"/>
      </w:pPr>
      <w:r>
        <w:t>2. License and brokerage association</w:t>
      </w:r>
    </w:p>
    <w:p>
      <w:pPr/>
      <w:r>
        <w:rPr>
          <w:rFonts w:ascii="Times New Roman" w:hAnsi="Times New Roman"/>
          <w:b w:val="0"/>
          <w:i w:val="0"/>
          <w:color w:val="1D1C19"/>
          <w:sz w:val="18"/>
        </w:rPr>
        <w:t>Agent will maintain an active New York real estate license associated with the Company identified here while performing licensed activity for it. Agent will promptly disclose any suspension, complaint, investigation, criminal charge, license change, or event affecting eligibility. Agent may not operate a legal Team with licensees associated with another brokerage.</w:t>
      </w:r>
    </w:p>
    <w:p>
      <w:pPr>
        <w:pStyle w:val="Heading2"/>
      </w:pPr>
      <w:r>
        <w:t>3. Supervision and compliance</w:t>
      </w:r>
    </w:p>
    <w:p>
      <w:pPr/>
      <w:r>
        <w:rPr>
          <w:rFonts w:ascii="Times New Roman" w:hAnsi="Times New Roman"/>
          <w:b w:val="0"/>
          <w:i w:val="0"/>
          <w:color w:val="1D1C19"/>
          <w:sz w:val="18"/>
        </w:rPr>
        <w:t>Agent will follow Article 12-A, 19 NYCRR Part 175, fair housing and anti-discrimination laws, agency disclosures, advertising rules, Company procedures, and Broker instructions. Agent will submit complete transaction files, cooperate with compliance review, use approved forms, and escalate complaints, escrow issues, cybersecurity incidents, and suspected fraud.</w:t>
      </w:r>
    </w:p>
    <w:p>
      <w:pPr>
        <w:pStyle w:val="Heading2"/>
      </w:pPr>
      <w:r>
        <w:t>4. Expenses, taxes, insurance, and benefits</w:t>
      </w:r>
    </w:p>
    <w:p>
      <w:pPr/>
      <w:r>
        <w:rPr>
          <w:rFonts w:ascii="Times New Roman" w:hAnsi="Times New Roman"/>
          <w:b w:val="0"/>
          <w:i w:val="0"/>
          <w:color w:val="1D1C19"/>
          <w:sz w:val="18"/>
        </w:rPr>
        <w:t>Unless Company expressly agrees in writing, Agent is responsible for licensing, association and listing-service fees, taxes, insurance, transportation, technology, marketing, assistants, and business expenses. Agent is not eligible for employee wages or benefits. Company may issue tax forms to the legal payee maintained in Portal.</w:t>
      </w:r>
    </w:p>
    <w:p>
      <w:pPr>
        <w:pStyle w:val="Heading2"/>
      </w:pPr>
      <w:r>
        <w:t>5. Compensation and offsets</w:t>
      </w:r>
    </w:p>
    <w:p>
      <w:pPr/>
      <w:r>
        <w:rPr>
          <w:rFonts w:ascii="Times New Roman" w:hAnsi="Times New Roman"/>
          <w:b w:val="0"/>
          <w:i w:val="0"/>
          <w:color w:val="1D1C19"/>
          <w:sz w:val="18"/>
        </w:rPr>
        <w:t>Compensation is payable only after Company receives cleared funds and approves the transaction file. Company may offset documented amounts owed by Agent, chargebacks, approved client credits, third-party referrals, and authorized charges. Transaction compensation is frozen from the plan, source, Team configuration, Sponsor, and facts effective for that transaction.</w:t>
      </w:r>
    </w:p>
    <w:p>
      <w:r>
        <w:br w:type="page"/>
      </w:r>
    </w:p>
    <w:p>
      <w:pPr>
        <w:spacing w:after="40"/>
      </w:pPr>
      <w:r>
        <w:rPr>
          <w:rFonts w:ascii="Arial" w:hAnsi="Arial"/>
          <w:b/>
          <w:i w:val="0"/>
          <w:color w:val="98623C"/>
          <w:sz w:val="15"/>
        </w:rPr>
        <w:t>PAGE 4 | ICA</w:t>
      </w:r>
    </w:p>
    <w:p>
      <w:pPr>
        <w:pStyle w:val="Heading1"/>
      </w:pPr>
      <w:r>
        <w:t>Independent Contractor Agreement - operations</w:t>
      </w:r>
    </w:p>
    <w:p>
      <w:pPr>
        <w:pStyle w:val="Heading2"/>
      </w:pPr>
      <w:r>
        <w:t>6. Listings, clients, advertising, and records</w:t>
      </w:r>
    </w:p>
    <w:p>
      <w:pPr/>
      <w:r>
        <w:rPr>
          <w:rFonts w:ascii="Times New Roman" w:hAnsi="Times New Roman"/>
          <w:b w:val="0"/>
          <w:i w:val="0"/>
          <w:color w:val="1D1C19"/>
          <w:sz w:val="18"/>
        </w:rPr>
        <w:t>All licensed activity is under Company supervision. Advertising, social media, websites, team branding, and property promotion require accurate brokerage identification and required approval. Agent will protect client information and preserve transaction records in Company systems. Company records, leads, forms, media, software, and training remain Company property unless written policy states otherwise.</w:t>
      </w:r>
    </w:p>
    <w:p>
      <w:pPr>
        <w:pStyle w:val="Heading2"/>
      </w:pPr>
      <w:r>
        <w:t>7. Rental transactions</w:t>
      </w:r>
    </w:p>
    <w:p>
      <w:pPr/>
      <w:r>
        <w:rPr>
          <w:rFonts w:ascii="Times New Roman" w:hAnsi="Times New Roman"/>
          <w:b w:val="0"/>
          <w:i w:val="0"/>
          <w:color w:val="1D1C19"/>
          <w:sz w:val="18"/>
        </w:rPr>
        <w:t>Agent will not provide legal advice or negotiate legal provisions beyond authorized standardized practice. Any Company-required attorney review acknowledgement must be obtained. No rental commission is payable until Company receives required documents, cleared funds, and verifies policy closing conditions. Agent must promptly remit any commission received directly.</w:t>
      </w:r>
    </w:p>
    <w:p>
      <w:pPr>
        <w:pStyle w:val="Heading2"/>
      </w:pPr>
      <w:r>
        <w:t>8. Team participation</w:t>
      </w:r>
    </w:p>
    <w:p>
      <w:pPr/>
      <w:r>
        <w:rPr>
          <w:rFonts w:ascii="Times New Roman" w:hAnsi="Times New Roman"/>
          <w:b w:val="0"/>
          <w:i w:val="0"/>
          <w:color w:val="1D1C19"/>
          <w:sz w:val="18"/>
        </w:rPr>
        <w:t>A Team is an internal operating organization of one licensed brokerage, not a separate brokerage or legal entity. Team membership, Team Split, Team-sourced Split, Team Cap, and effective date must be in Portal. Company Dollar is calculated before Team Split. Team changes are prospective and may require a new agreement or addendum.</w:t>
      </w:r>
    </w:p>
    <w:p>
      <w:pPr>
        <w:pStyle w:val="Heading2"/>
      </w:pPr>
      <w:r>
        <w:t>9. Term and termination</w:t>
      </w:r>
    </w:p>
    <w:p>
      <w:pPr/>
      <w:r>
        <w:rPr>
          <w:rFonts w:ascii="Times New Roman" w:hAnsi="Times New Roman"/>
          <w:b w:val="0"/>
          <w:i w:val="0"/>
          <w:color w:val="1D1C19"/>
          <w:sz w:val="18"/>
        </w:rPr>
        <w:t>Either party may terminate affiliation subject to law and written agreements. Agent must stop representing affiliation, return Company property, relinquish systems, preserve records, and cooperate in orderly handling of pending matters. Earned compensation remains subject to applicable transaction facts, offsets, policies, and agreements.</w:t>
      </w:r>
    </w:p>
    <w:p>
      <w:pPr>
        <w:pStyle w:val="Heading2"/>
      </w:pPr>
      <w:r>
        <w:t>10. General terms</w:t>
      </w:r>
    </w:p>
    <w:p>
      <w:pPr/>
      <w:r>
        <w:rPr>
          <w:rFonts w:ascii="Times New Roman" w:hAnsi="Times New Roman"/>
          <w:b w:val="0"/>
          <w:i w:val="0"/>
          <w:color w:val="1D1C19"/>
          <w:sz w:val="18"/>
        </w:rPr>
        <w:t>This Agreement, compensation election, NDA, Team terms, written policies, and signed addenda are the entire agreement on these subjects. Amendments require an authorized written process. New York law governs. If a provision is unenforceable, the rest remains effective. Notices may be delivered through Portal, email, personal delivery, or another lawful written method.</w:t>
      </w:r>
    </w:p>
    <w:p>
      <w:r>
        <w:br w:type="page"/>
      </w:r>
    </w:p>
    <w:p>
      <w:pPr>
        <w:spacing w:after="40"/>
      </w:pPr>
      <w:r>
        <w:rPr>
          <w:rFonts w:ascii="Arial" w:hAnsi="Arial"/>
          <w:b/>
          <w:i w:val="0"/>
          <w:color w:val="98623C"/>
          <w:sz w:val="15"/>
        </w:rPr>
        <w:t>PAGE 5 | REQUIRED SIGNATURES</w:t>
      </w:r>
    </w:p>
    <w:p>
      <w:pPr>
        <w:pStyle w:val="Heading1"/>
      </w:pPr>
      <w:r>
        <w:t>Independent Contractor Agreement - execution</w:t>
      </w:r>
    </w:p>
    <w:p>
      <w:pPr/>
      <w:r>
        <w:rPr>
          <w:rFonts w:ascii="Times New Roman" w:hAnsi="Times New Roman"/>
          <w:b w:val="0"/>
          <w:i w:val="0"/>
          <w:color w:val="1D1C19"/>
          <w:sz w:val="18"/>
        </w:rPr>
        <w:t>By signing, Agent confirms: the legal company below is the sole contracting brokerage; Portal facts were reviewed; no oral statement changes plan, Team, Sponsor, cap, fee, or term; Agent could seek independent legal and tax advice; and Agent will comply with law and Company supervision.</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Contracting company</w:t>
            </w:r>
          </w:p>
        </w:tc>
        <w:tc>
          <w:tcPr>
            <w:tcW w:type="dxa" w:w="3080"/>
            <w:vAlign w:val="center"/>
          </w:tcPr>
          <w:p>
            <w:r>
              <w:rPr>
                <w:rFonts w:ascii="Arial" w:hAnsi="Arial"/>
                <w:b w:val="0"/>
                <w:i w:val="0"/>
                <w:color w:val="1D1C19"/>
                <w:sz w:val="16"/>
              </w:rPr>
              <w:t>{{LEGAL_NAME}}</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{{ADDRESS}}</w:t>
            </w:r>
          </w:p>
        </w:tc>
      </w:tr>
      <w:tr>
        <w:tc>
          <w:tcPr>
            <w:tcW w:type="dxa" w:w="1600"/>
            <w:shd w:fill="F4F1EA"/>
            <w:vAlign w:val="center"/>
          </w:tcPr>
          <w:p>
            <w:r>
              <w:rPr>
                <w:rFonts w:ascii="Arial" w:hAnsi="Arial"/>
                <w:b/>
                <w:i w:val="0"/>
                <w:color w:val="6F6A61"/>
                <w:sz w:val="15"/>
              </w:rPr>
              <w:t>Agent</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License</w:t>
            </w:r>
          </w:p>
        </w:tc>
        <w:tc>
          <w:tcPr>
            <w:tcW w:type="dxa" w:w="3080"/>
            <w:vAlign w:val="center"/>
          </w:tcPr>
          <w:p>
            <w:r>
              <w:rPr>
                <w:rFonts w:ascii="Arial" w:hAnsi="Arial"/>
                <w:b w:val="0"/>
                <w:i w:val="0"/>
                <w:color w:val="1D1C19"/>
                <w:sz w:val="16"/>
              </w:rPr>
              <w:t>[license_number]</w:t>
            </w:r>
          </w:p>
        </w:tc>
      </w:tr>
      <w:tr>
        <w:tc>
          <w:tcPr>
            <w:tcW w:type="dxa" w:w="1600"/>
            <w:shd w:fill="F4F1EA"/>
            <w:vAlign w:val="center"/>
          </w:tcPr>
          <w:p>
            <w:r>
              <w:rPr>
                <w:rFonts w:ascii="Arial" w:hAnsi="Arial"/>
                <w:b/>
                <w:i w:val="0"/>
                <w:color w:val="6F6A61"/>
                <w:sz w:val="15"/>
              </w:rPr>
              <w:t>Plan</w:t>
            </w:r>
          </w:p>
        </w:tc>
        <w:tc>
          <w:tcPr>
            <w:tcW w:type="dxa" w:w="3080"/>
            <w:vAlign w:val="center"/>
          </w:tcPr>
          <w:p>
            <w:r>
              <w:rPr>
                <w:rFonts w:ascii="Arial" w:hAnsi="Arial"/>
                <w:b w:val="0"/>
                <w:i w:val="0"/>
                <w:color w:val="1D1C19"/>
                <w:sz w:val="16"/>
              </w:rPr>
              <w:t>[compensation_plan]</w:t>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t>[team_name]</w:t>
            </w:r>
          </w:p>
        </w:tc>
      </w:tr>
    </w:tbl>
    <w:p>
      <w:pPr/>
      <w:r>
        <w:rPr>
          <w:rFonts w:ascii="Times New Roman" w:hAnsi="Times New Roman"/>
          <w:b/>
          <w:i w:val="0"/>
          <w:color w:val="1D1C19"/>
          <w:sz w:val="18"/>
        </w:rPr>
        <w:t>Company countersigns manually only after administrator compliance review. A Broker serving more than one licensed company does not combine those companies into one contracting party.</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4F1EA"/>
          </w:tcPr>
          <w:p>
            <w:r>
              <w:rPr>
                <w:rFonts w:ascii="Arial" w:hAnsi="Arial"/>
                <w:b/>
                <w:i w:val="0"/>
                <w:color w:val="1D1C19"/>
                <w:sz w:val="15"/>
              </w:rPr>
              <w:t>AGENT - ICA EXECUTION</w:t>
            </w:r>
          </w:p>
        </w:tc>
        <w:tc>
          <w:tcPr>
            <w:tcW w:type="dxa" w:w="4680"/>
            <w:tcMar>
              <w:top w:w="80" w:type="dxa"/>
              <w:start w:w="120" w:type="dxa"/>
              <w:bottom w:w="80" w:type="dxa"/>
              <w:end w:w="120" w:type="dxa"/>
            </w:tcMar>
            <w:shd w:fill="F4F1EA"/>
          </w:tcPr>
          <w:p>
            <w:r>
              <w:rPr>
                <w:rFonts w:ascii="Arial" w:hAnsi="Arial"/>
                <w:b/>
                <w:i w:val="0"/>
                <w:color w:val="1D1C19"/>
                <w:sz w:val="15"/>
              </w:rPr>
              <w:t>COMPANY - ICA COUNTERSIGNATURE</w:t>
            </w:r>
          </w:p>
        </w:tc>
      </w:tr>
      <w:tr>
        <w:tc>
          <w:tcPr>
            <w:tcW w:type="dxa" w:w="4680"/>
            <w:tcMar>
              <w:top w:w="80" w:type="dxa"/>
              <w:start w:w="120" w:type="dxa"/>
              <w:bottom w:w="80" w:type="dxa"/>
              <w:end w:w="120" w:type="dxa"/>
            </w:tcMar>
          </w:tcPr>
          <w:p>
            <w:r>
              <w:rPr>
                <w:rFonts w:ascii="Arial" w:hAnsi="Arial"/>
                <w:b w:val="0"/>
                <w:i w:val="0"/>
                <w:color w:val="1D1C19"/>
                <w:sz w:val="15"/>
              </w:rPr>
              <w:t>Signature: __________________________________</w:t>
            </w:r>
          </w:p>
        </w:tc>
        <w:tc>
          <w:tcPr>
            <w:tcW w:type="dxa" w:w="4680"/>
            <w:tcMar>
              <w:top w:w="80" w:type="dxa"/>
              <w:start w:w="120" w:type="dxa"/>
              <w:bottom w:w="80" w:type="dxa"/>
              <w:end w:w="120" w:type="dxa"/>
            </w:tcMar>
          </w:tcPr>
          <w:p>
            <w:r>
              <w:rPr>
                <w:rFonts w:ascii="Arial" w:hAnsi="Arial"/>
                <w:b w:val="0"/>
                <w:i w:val="0"/>
                <w:color w:val="1D1C19"/>
                <w:sz w:val="15"/>
              </w:rPr>
              <w:t>Signature: __________________________________</w:t>
            </w:r>
          </w:p>
        </w:tc>
      </w:tr>
      <w:tr>
        <w:tc>
          <w:tcPr>
            <w:tcW w:type="dxa" w:w="4680"/>
            <w:tcMar>
              <w:top w:w="80" w:type="dxa"/>
              <w:start w:w="120" w:type="dxa"/>
              <w:bottom w:w="80" w:type="dxa"/>
              <w:end w:w="120" w:type="dxa"/>
            </w:tcMar>
          </w:tcPr>
          <w:p>
            <w:r>
              <w:rPr>
                <w:rFonts w:ascii="Arial" w:hAnsi="Arial"/>
                <w:b w:val="0"/>
                <w:i w:val="0"/>
                <w:color w:val="1D1C19"/>
                <w:sz w:val="15"/>
              </w:rPr>
              <w:t>Printed name: ______________________________</w:t>
            </w:r>
          </w:p>
        </w:tc>
        <w:tc>
          <w:tcPr>
            <w:tcW w:type="dxa" w:w="4680"/>
            <w:tcMar>
              <w:top w:w="80" w:type="dxa"/>
              <w:start w:w="120" w:type="dxa"/>
              <w:bottom w:w="80" w:type="dxa"/>
              <w:end w:w="120" w:type="dxa"/>
            </w:tcMar>
          </w:tcPr>
          <w:p>
            <w:r>
              <w:rPr>
                <w:rFonts w:ascii="Arial" w:hAnsi="Arial"/>
                <w:b w:val="0"/>
                <w:i w:val="0"/>
                <w:color w:val="1D1C19"/>
                <w:sz w:val="15"/>
              </w:rPr>
              <w:t>{{BROKER_NAME}}, {{BROKER_TITLE}}</w:t>
            </w:r>
          </w:p>
        </w:tc>
      </w:tr>
      <w:tr>
        <w:tc>
          <w:tcPr>
            <w:tcW w:type="dxa" w:w="4680"/>
            <w:tcMar>
              <w:top w:w="80" w:type="dxa"/>
              <w:start w:w="120" w:type="dxa"/>
              <w:bottom w:w="80" w:type="dxa"/>
              <w:end w:w="120" w:type="dxa"/>
            </w:tcMar>
          </w:tcPr>
          <w:p>
            <w:r>
              <w:rPr>
                <w:rFonts w:ascii="Arial" w:hAnsi="Arial"/>
                <w:b w:val="0"/>
                <w:i w:val="0"/>
                <w:color w:val="1D1C19"/>
                <w:sz w:val="15"/>
              </w:rPr>
              <w:t>Date: ______________________________________</w:t>
            </w:r>
          </w:p>
        </w:tc>
        <w:tc>
          <w:tcPr>
            <w:tcW w:type="dxa" w:w="4680"/>
            <w:tcMar>
              <w:top w:w="80" w:type="dxa"/>
              <w:start w:w="120" w:type="dxa"/>
              <w:bottom w:w="80"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Countersigner: {{BROKER_NAME}}, {{BROKER_TITLE}} | {{BROKER_EMAIL}} | {{LEGAL_NAME}}</w:t>
      </w:r>
    </w:p>
    <w:p>
      <w:r>
        <w:br w:type="page"/>
      </w:r>
    </w:p>
    <w:p>
      <w:pPr>
        <w:spacing w:after="40"/>
      </w:pPr>
      <w:r>
        <w:rPr>
          <w:rFonts w:ascii="Arial" w:hAnsi="Arial"/>
          <w:b/>
          <w:i w:val="0"/>
          <w:color w:val="98623C"/>
          <w:sz w:val="15"/>
        </w:rPr>
        <w:t>PAGE 6 | NDA</w:t>
      </w:r>
    </w:p>
    <w:p>
      <w:pPr>
        <w:pStyle w:val="Heading1"/>
      </w:pPr>
      <w:r>
        <w:t>Confidentiality and non-disclosure agreement</w:t>
      </w:r>
    </w:p>
    <w:p>
      <w:pPr>
        <w:pStyle w:val="Heading2"/>
      </w:pPr>
      <w:r>
        <w:t>1. Confidential Information</w:t>
      </w:r>
    </w:p>
    <w:p>
      <w:pPr/>
      <w:r>
        <w:rPr>
          <w:rFonts w:ascii="Times New Roman" w:hAnsi="Times New Roman"/>
          <w:b w:val="0"/>
          <w:i w:val="0"/>
          <w:color w:val="1D1C19"/>
          <w:sz w:val="18"/>
        </w:rPr>
        <w:t>Confidential Information includes non-public client and prospect data; transaction and financial information; credentials; source code, workflows, prompts, models, software, and platform data; marketing plans; pricing and commission administration; internal training; employee, contractor, and family information; and other reasonably confidential information. It excludes information lawfully public, independently developed, rightfully received without duty, or legally required to be disclosed.</w:t>
      </w:r>
    </w:p>
    <w:p>
      <w:pPr>
        <w:pStyle w:val="Heading2"/>
      </w:pPr>
      <w:r>
        <w:t>2. Protection and permitted use</w:t>
      </w:r>
    </w:p>
    <w:p>
      <w:pPr/>
      <w:r>
        <w:rPr>
          <w:rFonts w:ascii="Times New Roman" w:hAnsi="Times New Roman"/>
          <w:b w:val="0"/>
          <w:i w:val="0"/>
          <w:color w:val="1D1C19"/>
          <w:sz w:val="18"/>
        </w:rPr>
        <w:t>Agent will use Confidential Information only for authorized Company business; apply reasonable security; not share credentials; not copy, record, screenshot, redistribute, republish, or repackage restricted materials; and promptly report suspected unauthorized access or disclosure. Disclosure to an approved assistant requires Company authorization and equivalent obligations.</w:t>
      </w:r>
    </w:p>
    <w:p>
      <w:pPr>
        <w:pStyle w:val="Heading2"/>
      </w:pPr>
      <w:r>
        <w:t>3. Return, deletion, access, and remedies</w:t>
      </w:r>
    </w:p>
    <w:p>
      <w:pPr/>
      <w:r>
        <w:rPr>
          <w:rFonts w:ascii="Times New Roman" w:hAnsi="Times New Roman"/>
          <w:b w:val="0"/>
          <w:i w:val="0"/>
          <w:color w:val="1D1C19"/>
          <w:sz w:val="18"/>
        </w:rPr>
        <w:t>On request or termination, Agent will return or securely delete Company information and relinquish accounts and devices as directed, subject to legal retention. Unauthorized use may cause irreparable harm and Company may seek lawful injunctive relief, damages, fees, and other remedies. Prior-package liquidated damages are not carried forward unless counsel expressly approves them in this edition.</w:t>
      </w:r>
    </w:p>
    <w:p>
      <w:pPr>
        <w:pStyle w:val="Heading2"/>
      </w:pPr>
      <w:r>
        <w:t>4. Duration and protected disclosures</w:t>
      </w:r>
    </w:p>
    <w:p>
      <w:pPr/>
      <w:r>
        <w:rPr>
          <w:rFonts w:ascii="Times New Roman" w:hAnsi="Times New Roman"/>
          <w:b w:val="0"/>
          <w:i w:val="0"/>
          <w:color w:val="1D1C19"/>
          <w:sz w:val="18"/>
        </w:rPr>
        <w:t>Confidentiality survives termination for the period stated by law or policy and, for trade secrets, while protected. Nothing prohibits lawful reporting to government officials or an attorney, participation in an investigation, or disclosure protected by the Defend Trade Secrets Act or other whistleblower law.</w:t>
      </w:r>
    </w:p>
    <w:p>
      <w:r>
        <w:br w:type="page"/>
      </w:r>
    </w:p>
    <w:p>
      <w:pPr>
        <w:spacing w:after="40"/>
      </w:pPr>
      <w:r>
        <w:rPr>
          <w:rFonts w:ascii="Arial" w:hAnsi="Arial"/>
          <w:b/>
          <w:i w:val="0"/>
          <w:color w:val="98623C"/>
          <w:sz w:val="15"/>
        </w:rPr>
        <w:t>PAGE 7 | REQUIRED SIGNATURE</w:t>
      </w:r>
    </w:p>
    <w:p>
      <w:pPr>
        <w:pStyle w:val="Heading1"/>
      </w:pPr>
      <w:r>
        <w:t>NDA execution and final acknowledgement</w:t>
      </w:r>
    </w:p>
    <w:p>
      <w:pPr/>
      <w:r>
        <w:rPr>
          <w:rFonts w:ascii="Times New Roman" w:hAnsi="Times New Roman"/>
          <w:b w:val="0"/>
          <w:i w:val="0"/>
          <w:color w:val="1D1C19"/>
          <w:sz w:val="18"/>
        </w:rPr>
        <w:t>Agent acknowledges the confidentiality terms, understands that Company systems may contain sensitive information, and agrees not to place SSN, full bank-account information, payment-card data, or signing credentials into contract merge fields, ordinary Portal notes, or support messages.</w:t>
      </w:r>
    </w:p>
    <w:p>
      <w:pPr>
        <w:pStyle w:val="Heading2"/>
      </w:pPr>
      <w:r>
        <w:t>Continuing obligations</w:t>
      </w:r>
    </w:p>
    <w:p>
      <w:pPr>
        <w:pStyle w:val="ListBullet"/>
      </w:pPr>
      <w:r>
        <w:rPr>
          <w:rFonts w:ascii="Times New Roman" w:hAnsi="Times New Roman"/>
          <w:b w:val="0"/>
          <w:i w:val="0"/>
          <w:color w:val="1D1C19"/>
          <w:sz w:val="18"/>
        </w:rPr>
        <w:t>Protect Company, client, Agent, and vendor information using reasonable safeguards.</w:t>
      </w:r>
    </w:p>
    <w:p>
      <w:pPr>
        <w:pStyle w:val="ListBullet"/>
      </w:pPr>
      <w:r>
        <w:rPr>
          <w:rFonts w:ascii="Times New Roman" w:hAnsi="Times New Roman"/>
          <w:b w:val="0"/>
          <w:i w:val="0"/>
          <w:color w:val="1D1C19"/>
          <w:sz w:val="18"/>
        </w:rPr>
        <w:t>Use Company information only for authorized business and comply with retention instructions.</w:t>
      </w:r>
    </w:p>
    <w:p>
      <w:pPr>
        <w:pStyle w:val="ListBullet"/>
      </w:pPr>
      <w:r>
        <w:rPr>
          <w:rFonts w:ascii="Times New Roman" w:hAnsi="Times New Roman"/>
          <w:b w:val="0"/>
          <w:i w:val="0"/>
          <w:color w:val="1D1C19"/>
          <w:sz w:val="18"/>
        </w:rPr>
        <w:t>Return access and information promptly on request or termination.</w:t>
      </w:r>
    </w:p>
    <w:p>
      <w:pPr>
        <w:pStyle w:val="ListBullet"/>
      </w:pPr>
      <w:r>
        <w:rPr>
          <w:rFonts w:ascii="Times New Roman" w:hAnsi="Times New Roman"/>
          <w:b w:val="0"/>
          <w:i w:val="0"/>
          <w:color w:val="1D1C19"/>
          <w:sz w:val="18"/>
        </w:rPr>
        <w:t>Report suspected loss, unauthorized disclosure, or compromised credentials immediately.</w:t>
      </w:r>
    </w:p>
    <w:p>
      <w:pPr>
        <w:pStyle w:val="ListBullet"/>
      </w:pPr>
      <w:r>
        <w:rPr>
          <w:rFonts w:ascii="Times New Roman" w:hAnsi="Times New Roman"/>
          <w:b w:val="0"/>
          <w:i w:val="0"/>
          <w:color w:val="1D1C19"/>
          <w:sz w:val="18"/>
        </w:rPr>
        <w:t>Preserve lawful whistleblower, regulatory, and attorney communications.</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Owner / Company</w:t>
            </w:r>
          </w:p>
        </w:tc>
        <w:tc>
          <w:tcPr>
            <w:tcW w:type="dxa" w:w="3080"/>
            <w:vAlign w:val="center"/>
          </w:tcPr>
          <w:p>
            <w:r>
              <w:rPr>
                <w:rFonts w:ascii="Arial" w:hAnsi="Arial"/>
                <w:b w:val="0"/>
                <w:i w:val="0"/>
                <w:color w:val="1D1C19"/>
                <w:sz w:val="16"/>
              </w:rPr>
              <w:t>{{LEGAL_NAME}}</w:t>
            </w:r>
          </w:p>
        </w:tc>
        <w:tc>
          <w:tcPr>
            <w:tcW w:type="dxa" w:w="1600"/>
            <w:shd w:fill="F4F1EA"/>
            <w:vAlign w:val="center"/>
          </w:tcPr>
          <w:p>
            <w:r>
              <w:rPr>
                <w:rFonts w:ascii="Arial" w:hAnsi="Arial"/>
                <w:b/>
                <w:i w:val="0"/>
                <w:color w:val="6F6A61"/>
                <w:sz w:val="15"/>
              </w:rPr>
              <w:t>Recipient / Agent</w:t>
            </w:r>
          </w:p>
        </w:tc>
        <w:tc>
          <w:tcPr>
            <w:tcW w:type="dxa" w:w="3080"/>
            <w:vAlign w:val="center"/>
          </w:tcPr>
          <w:p>
            <w:r>
              <w:rPr>
                <w:rFonts w:ascii="Arial" w:hAnsi="Arial"/>
                <w:b w:val="0"/>
                <w:i w:val="0"/>
                <w:color w:val="1D1C19"/>
                <w:sz w:val="16"/>
              </w:rPr>
              <w:t>[agent_name]</w:t>
            </w:r>
          </w:p>
        </w:tc>
      </w:tr>
      <w:tr>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{{ADDRESS}}</w:t>
            </w:r>
          </w:p>
        </w:tc>
        <w:tc>
          <w:tcPr>
            <w:tcW w:type="dxa" w:w="1600"/>
            <w:shd w:fill="F4F1EA"/>
            <w:vAlign w:val="center"/>
          </w:tcPr>
          <w:p>
            <w:r>
              <w:rPr>
                <w:rFonts w:ascii="Arial" w:hAnsi="Arial"/>
                <w:b/>
                <w:i w:val="0"/>
                <w:color w:val="6F6A61"/>
                <w:sz w:val="15"/>
              </w:rPr>
              <w:t>Agent email</w:t>
            </w:r>
          </w:p>
        </w:tc>
        <w:tc>
          <w:tcPr>
            <w:tcW w:type="dxa" w:w="3080"/>
            <w:vAlign w:val="center"/>
          </w:tcPr>
          <w:p>
            <w:r>
              <w:rPr>
                <w:rFonts w:ascii="Arial" w:hAnsi="Arial"/>
                <w:b w:val="0"/>
                <w:i w:val="0"/>
                <w:color w:val="1D1C19"/>
                <w:sz w:val="16"/>
              </w:rPr>
              <w:t>[agent_email]</w:t>
            </w:r>
          </w:p>
        </w:tc>
      </w:tr>
    </w:tbl>
    <w:p>
      <w:pPr/>
      <w:r>
        <w:rPr>
          <w:rFonts w:ascii="Times New Roman" w:hAnsi="Times New Roman"/>
          <w:b/>
          <w:i w:val="0"/>
          <w:color w:val="1D1C19"/>
          <w:sz w:val="18"/>
        </w:rPr>
        <w:t>Agent NDA signature: __________________________________    Date: __________________</w:t>
      </w:r>
    </w:p>
    <w:p>
      <w:pPr>
        <w:pStyle w:val="LegalSmall"/>
      </w:pPr>
      <w:r>
        <w:rPr>
          <w:rFonts w:ascii="Arial" w:hAnsi="Arial"/>
          <w:b w:val="0"/>
          <w:i w:val="0"/>
          <w:color w:val="6F6A61"/>
          <w:sz w:val="15"/>
        </w:rPr>
        <w:t>The NDA signature is separate from the ICA execution signature and must be completed independently.</w:t>
      </w:r>
    </w:p>
    <w:p>
      <w:r>
        <w:t>[[IF_REALTY]]</w:t>
      </w:r>
    </w:p>
    <w:p>
      <w:r>
        <w:br w:type="page"/>
      </w:r>
    </w:p>
    <w:p>
      <w:pPr>
        <w:spacing w:after="40"/>
      </w:pPr>
      <w:r>
        <w:rPr>
          <w:rFonts w:ascii="Arial" w:hAnsi="Arial"/>
          <w:b/>
          <w:i w:val="0"/>
          <w:color w:val="98623C"/>
          <w:sz w:val="15"/>
        </w:rPr>
        <w:t>PAGE 8 | {{LEGAL_NAME}} ONLY</w:t>
      </w:r>
    </w:p>
    <w:p>
      <w:pPr>
        <w:pStyle w:val="Heading1"/>
      </w:pPr>
      <w:r>
        <w:t>LIBOR / OneKey membership appendix</w:t>
      </w:r>
    </w:p>
    <w:p>
      <w:pPr/>
      <w:r>
        <w:rPr>
          <w:rFonts w:ascii="Times New Roman" w:hAnsi="Times New Roman"/>
          <w:b/>
          <w:i w:val="0"/>
          <w:color w:val="1D1C19"/>
          <w:sz w:val="18"/>
        </w:rPr>
        <w:t>This appendix applies only to an Agent affiliating with {{LEGAL_NAME}} and is part of this entity-specific Agreement.</w:t>
      </w:r>
    </w:p>
    <w:p>
      <w:r>
        <w:rPr>
          <w:rFonts w:ascii="Arial" w:hAnsi="Arial"/>
          <w:b/>
          <w:i w:val="0"/>
          <w:color w:val="536B3A"/>
          <w:sz w:val="20"/>
        </w:rPr>
        <w:t xml:space="preserve">[  ] </w:t>
      </w:r>
      <w:r>
        <w:rPr>
          <w:rFonts w:ascii="Arial" w:hAnsi="Arial"/>
          <w:b/>
          <w:i w:val="0"/>
          <w:color w:val="1D1C19"/>
          <w:sz w:val="17"/>
        </w:rPr>
        <w:t>I understand that {{LEGAL_NAME}} requires completion and maintenance of applicable LIBOR / OneKey membership and payment of related fees. I will provide accurate information and complete required association or listing-service forms outside this contract.</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Agent legal name</w:t>
            </w:r>
          </w:p>
        </w:tc>
        <w:tc>
          <w:tcPr>
            <w:tcW w:type="dxa" w:w="3080"/>
            <w:vAlign w:val="center"/>
          </w:tcPr>
          <w:p>
            <w:r>
              <w:rPr>
                <w:rFonts w:ascii="Arial" w:hAnsi="Arial"/>
                <w:b w:val="0"/>
                <w:i w:val="0"/>
                <w:color w:val="1D1C19"/>
                <w:sz w:val="16"/>
              </w:rPr>
              <w:t>________________________________</w:t>
            </w:r>
          </w:p>
        </w:tc>
        <w:tc>
          <w:tcPr>
            <w:tcW w:type="dxa" w:w="1600"/>
            <w:shd w:fill="F4F1EA"/>
            <w:vAlign w:val="center"/>
          </w:tcPr>
          <w:p>
            <w:r>
              <w:rPr>
                <w:rFonts w:ascii="Arial" w:hAnsi="Arial"/>
                <w:b/>
                <w:i w:val="0"/>
                <w:color w:val="6F6A61"/>
                <w:sz w:val="15"/>
              </w:rPr>
              <w:t>NY license number</w:t>
            </w:r>
          </w:p>
        </w:tc>
        <w:tc>
          <w:tcPr>
            <w:tcW w:type="dxa" w:w="3080"/>
            <w:vAlign w:val="center"/>
          </w:tcPr>
          <w:p>
            <w:r>
              <w:rPr>
                <w:rFonts w:ascii="Arial" w:hAnsi="Arial"/>
                <w:b w:val="0"/>
                <w:i w:val="0"/>
                <w:color w:val="1D1C19"/>
                <w:sz w:val="16"/>
              </w:rPr>
              <w:t>________________________________</w:t>
            </w:r>
          </w:p>
        </w:tc>
      </w:tr>
      <w:tr>
        <w:tc>
          <w:tcPr>
            <w:tcW w:type="dxa" w:w="1600"/>
            <w:shd w:fill="F4F1EA"/>
            <w:vAlign w:val="center"/>
          </w:tcPr>
          <w:p>
            <w:r>
              <w:rPr>
                <w:rFonts w:ascii="Arial" w:hAnsi="Arial"/>
                <w:b/>
                <w:i w:val="0"/>
                <w:color w:val="6F6A61"/>
                <w:sz w:val="15"/>
              </w:rPr>
              <w:t>Home address</w:t>
            </w:r>
          </w:p>
        </w:tc>
        <w:tc>
          <w:tcPr>
            <w:tcW w:type="dxa" w:w="3080"/>
            <w:vAlign w:val="center"/>
          </w:tcPr>
          <w:p>
            <w:r>
              <w:rPr>
                <w:rFonts w:ascii="Arial" w:hAnsi="Arial"/>
                <w:b w:val="0"/>
                <w:i w:val="0"/>
                <w:color w:val="1D1C19"/>
                <w:sz w:val="16"/>
              </w:rPr>
              <w:t>________________________________</w:t>
            </w:r>
          </w:p>
        </w:tc>
        <w:tc>
          <w:tcPr>
            <w:tcW w:type="dxa" w:w="1600"/>
            <w:shd w:fill="F4F1EA"/>
            <w:vAlign w:val="center"/>
          </w:tcPr>
          <w:p>
            <w:r>
              <w:rPr>
                <w:rFonts w:ascii="Arial" w:hAnsi="Arial"/>
                <w:b/>
                <w:i w:val="0"/>
                <w:color w:val="6F6A61"/>
                <w:sz w:val="15"/>
              </w:rPr>
              <w:t>Phone</w:t>
            </w:r>
          </w:p>
        </w:tc>
        <w:tc>
          <w:tcPr>
            <w:tcW w:type="dxa" w:w="3080"/>
            <w:vAlign w:val="center"/>
          </w:tcPr>
          <w:p>
            <w:r>
              <w:rPr>
                <w:rFonts w:ascii="Arial" w:hAnsi="Arial"/>
                <w:b w:val="0"/>
                <w:i w:val="0"/>
                <w:color w:val="1D1C19"/>
                <w:sz w:val="16"/>
              </w:rPr>
              <w:t>________________________________</w:t>
            </w:r>
          </w:p>
        </w:tc>
      </w:tr>
      <w:tr>
        <w:tc>
          <w:tcPr>
            <w:tcW w:type="dxa" w:w="1600"/>
            <w:shd w:fill="F4F1EA"/>
            <w:vAlign w:val="center"/>
          </w:tcPr>
          <w:p>
            <w:r>
              <w:rPr>
                <w:rFonts w:ascii="Arial" w:hAnsi="Arial"/>
                <w:b/>
                <w:i w:val="0"/>
                <w:color w:val="6F6A61"/>
                <w:sz w:val="15"/>
              </w:rPr>
              <w:t>Email</w:t>
            </w:r>
          </w:p>
        </w:tc>
        <w:tc>
          <w:tcPr>
            <w:tcW w:type="dxa" w:w="3080"/>
            <w:vAlign w:val="center"/>
          </w:tcPr>
          <w:p>
            <w:r>
              <w:rPr>
                <w:rFonts w:ascii="Arial" w:hAnsi="Arial"/>
                <w:b w:val="0"/>
                <w:i w:val="0"/>
                <w:color w:val="1D1C19"/>
                <w:sz w:val="16"/>
              </w:rPr>
              <w:t>________________________________</w:t>
            </w:r>
          </w:p>
        </w:tc>
        <w:tc>
          <w:tcPr>
            <w:tcW w:type="dxa" w:w="1600"/>
            <w:shd w:fill="F4F1EA"/>
            <w:vAlign w:val="center"/>
          </w:tcPr>
          <w:p>
            <w:r>
              <w:rPr>
                <w:rFonts w:ascii="Arial" w:hAnsi="Arial"/>
                <w:b/>
                <w:i w:val="0"/>
                <w:color w:val="6F6A61"/>
                <w:sz w:val="15"/>
              </w:rPr>
              <w:t>Initials</w:t>
            </w:r>
          </w:p>
        </w:tc>
        <w:tc>
          <w:tcPr>
            <w:tcW w:type="dxa" w:w="3080"/>
            <w:vAlign w:val="center"/>
          </w:tcPr>
          <w:p>
            <w:r>
              <w:rPr>
                <w:rFonts w:ascii="Arial" w:hAnsi="Arial"/>
                <w:b w:val="0"/>
                <w:i w:val="0"/>
                <w:color w:val="1D1C19"/>
                <w:sz w:val="16"/>
              </w:rPr>
              <w:t>____________</w:t>
            </w:r>
          </w:p>
        </w:tc>
      </w:tr>
    </w:tbl>
    <w:p>
      <w:pPr>
        <w:pStyle w:val="Heading2"/>
      </w:pPr>
      <w:r>
        <w:t>Membership and data handling</w:t>
      </w:r>
    </w:p>
    <w:p>
      <w:pPr/>
      <w:r>
        <w:rPr>
          <w:rFonts w:ascii="Times New Roman" w:hAnsi="Times New Roman"/>
          <w:b w:val="0"/>
          <w:i w:val="0"/>
          <w:color w:val="1D1C19"/>
          <w:sz w:val="18"/>
        </w:rPr>
        <w:t>Agent is responsible for maintaining eligibility and paying association, listing-service, access, key, education, and other required charges unless Company confirms otherwise in writing. Timing, approval, and third-party fees are controlled by the association or service and are not guaranteed by Company.</w:t>
      </w:r>
    </w:p>
    <w:p>
      <w:pPr/>
      <w:r>
        <w:rPr>
          <w:rFonts w:ascii="Times New Roman" w:hAnsi="Times New Roman"/>
          <w:b w:val="0"/>
          <w:i w:val="0"/>
          <w:color w:val="1D1C19"/>
          <w:sz w:val="18"/>
        </w:rPr>
        <w:t>SSN, full bank information, payment-card data, and identity credentials must not be entered here or in ordinary Portal notes. If a third party requires sensitive information, Agent will submit it through that party's authorized secure process or another Company-approved restricted workflow.</w:t>
      </w:r>
    </w:p>
    <w:p>
      <w:pPr/>
      <w:r>
        <w:rPr>
          <w:rFonts w:ascii="Times New Roman" w:hAnsi="Times New Roman"/>
          <w:b/>
          <w:i w:val="0"/>
          <w:color w:val="1D1C19"/>
          <w:sz w:val="18"/>
        </w:rPr>
        <w:t>Agent appendix signature: ______________________________    Date: __________________</w:t>
      </w:r>
    </w:p>
    <w:p>
      <w:pPr/>
      <w:r>
        <w:rPr>
          <w:rFonts w:ascii="Times New Roman" w:hAnsi="Times New Roman"/>
          <w:b/>
          <w:i w:val="0"/>
          <w:color w:val="1D1C19"/>
          <w:sz w:val="18"/>
        </w:rPr>
        <w:t>Agent initials: __________</w:t>
      </w:r>
    </w:p>
    <w:p>
      <w:r>
        <w:t>[[END_IF_REALTY]]</w:t>
      </w:r>
    </w:p>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AGENT AFFILIATION AGREEMENT | {{LEGAL_NAME}}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Affiliation Agreement master</dc:title>
  <dc:subject>Homix Agent affiliation master with conditional Realty appendix</dc:subject>
  <dc:creator>Homix</dc:creator>
  <cp:keywords/>
  <dc:description>Legal-review candidate. Entity releases must be immutable.</dc:description>
  <cp:lastModifiedBy/>
  <cp:revision>1</cp:revision>
  <dcterms:created xsi:type="dcterms:W3CDTF">2013-12-23T23:15:00Z</dcterms:created>
  <dcterms:modified xsi:type="dcterms:W3CDTF">2013-12-23T23:15:00Z</dcterms:modified>
  <cp:category/>
</cp:coreProperties>
</file>