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Realty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Realty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Realty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w:t>
            </w:r>
          </w:p>
        </w:tc>
        <w:tc>
          <w:tcPr>
            <w:tcW w:type="dxa" w:w="2420"/>
            <w:tcMar>
              <w:top w:w="45" w:type="dxa"/>
              <w:start w:w="120" w:type="dxa"/>
              <w:bottom w:w="45" w:type="dxa"/>
              <w:end w:w="120" w:type="dxa"/>
            </w:tcMar>
          </w:tcPr>
          <w:p>
            <w:r>
              <w:rPr>
                <w:rFonts w:ascii="Arial" w:hAnsi="Arial"/>
                <w:b w:val="0"/>
                <w:i w:val="0"/>
                <w:color w:val="1D1C19"/>
                <w:sz w:val="15"/>
              </w:rPr>
              <w:t>85% Agent / 15%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$12,000 annual Company Dollar cap</w:t>
            </w:r>
          </w:p>
        </w:tc>
      </w:tr>
      <w:tr>
        <w:tc>
          <w:tcPr>
            <w:tcW w:type="dxa" w:w="1500"/>
            <w:tcMar>
              <w:top w:w="45" w:type="dxa"/>
              <w:start w:w="120" w:type="dxa"/>
              <w:bottom w:w="45" w:type="dxa"/>
              <w:end w:w="120" w:type="dxa"/>
            </w:tcMar>
          </w:tcPr>
          <w:p>
            <w:r>
              <w:rPr>
                <w:rFonts w:ascii="Arial" w:hAnsi="Arial"/>
                <w:b/>
                <w:i w:val="0"/>
                <w:color w:val="536B3A"/>
                <w:sz w:val="15"/>
              </w:rPr>
              <w:t>SOLO PRO</w:t>
            </w:r>
          </w:p>
        </w:tc>
        <w:tc>
          <w:tcPr>
            <w:tcW w:type="dxa" w:w="2420"/>
            <w:tcMar>
              <w:top w:w="45" w:type="dxa"/>
              <w:start w:w="120" w:type="dxa"/>
              <w:bottom w:w="45" w:type="dxa"/>
              <w:end w:w="120" w:type="dxa"/>
            </w:tcMar>
          </w:tcPr>
          <w:p>
            <w:r>
              <w:rPr>
                <w:rFonts w:ascii="Arial" w:hAnsi="Arial"/>
                <w:b w:val="0"/>
                <w:i w:val="0"/>
                <w:color w:val="1D1C19"/>
                <w:sz w:val="15"/>
              </w:rPr>
              <w:t>100% commission mode</w:t>
            </w:r>
          </w:p>
        </w:tc>
        <w:tc>
          <w:tcPr>
            <w:tcW w:type="dxa" w:w="2560"/>
            <w:tcMar>
              <w:top w:w="45" w:type="dxa"/>
              <w:start w:w="120" w:type="dxa"/>
              <w:bottom w:w="45" w:type="dxa"/>
              <w:end w:w="120" w:type="dxa"/>
            </w:tcMar>
          </w:tcPr>
          <w:p>
            <w:r>
              <w:rPr>
                <w:rFonts w:ascii="Arial" w:hAnsi="Arial"/>
                <w:b w:val="0"/>
                <w:i w:val="0"/>
                <w:color w:val="1D1C19"/>
                <w:sz w:val="15"/>
              </w:rPr>
              <w:t>$3,650 annual plan fee</w:t>
            </w:r>
          </w:p>
        </w:tc>
        <w:tc>
          <w:tcPr>
            <w:tcW w:type="dxa" w:w="2880"/>
            <w:tcMar>
              <w:top w:w="45" w:type="dxa"/>
              <w:start w:w="120" w:type="dxa"/>
              <w:bottom w:w="45" w:type="dxa"/>
              <w:end w:w="120" w:type="dxa"/>
            </w:tcMar>
          </w:tcPr>
          <w:p>
            <w:r>
              <w:rPr>
                <w:rFonts w:ascii="Arial" w:hAnsi="Arial"/>
                <w:b w:val="0"/>
                <w:i w:val="0"/>
                <w:color w:val="1D1C19"/>
                <w:sz w:val="15"/>
              </w:rPr>
              <w:t>Transaction fee from first closing; no split cap</w:t>
            </w:r>
          </w:p>
        </w:tc>
      </w:tr>
      <w:tr>
        <w:tc>
          <w:tcPr>
            <w:tcW w:type="dxa" w:w="1500"/>
            <w:tcMar>
              <w:top w:w="45" w:type="dxa"/>
              <w:start w:w="120" w:type="dxa"/>
              <w:bottom w:w="45" w:type="dxa"/>
              <w:end w:w="120" w:type="dxa"/>
            </w:tcMar>
          </w:tcPr>
          <w:p>
            <w:r>
              <w:rPr>
                <w:rFonts w:ascii="Arial" w:hAnsi="Arial"/>
                <w:b/>
                <w:i w:val="0"/>
                <w:color w:val="536B3A"/>
                <w:sz w:val="15"/>
              </w:rPr>
              <w:t>TEAM MEMBER</w:t>
            </w:r>
          </w:p>
        </w:tc>
        <w:tc>
          <w:tcPr>
            <w:tcW w:type="dxa" w:w="2420"/>
            <w:tcMar>
              <w:top w:w="45" w:type="dxa"/>
              <w:start w:w="120" w:type="dxa"/>
              <w:bottom w:w="45" w:type="dxa"/>
              <w:end w:w="120" w:type="dxa"/>
            </w:tcMar>
          </w:tcPr>
          <w:p>
            <w:r>
              <w:rPr>
                <w:rFonts w:ascii="Arial" w:hAnsi="Arial"/>
                <w:b w:val="0"/>
                <w:i w:val="0"/>
                <w:color w:val="1D1C19"/>
                <w:sz w:val="15"/>
              </w:rPr>
              <w:t>90% Agent Side / 10%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$10,000 Company cap; Team terms separate</w:t>
            </w:r>
          </w:p>
        </w:tc>
      </w:tr>
    </w:tbl>
    <w:p>
      <w:pPr>
        <w:pStyle w:val="Heading2"/>
      </w:pPr>
      <w:r>
        <w:t>Plan terms</w:t>
      </w:r>
    </w:p>
    <w:p>
      <w:pPr>
        <w:pStyle w:val="ListBullet"/>
      </w:pPr>
      <w:r>
        <w:rPr>
          <w:rFonts w:ascii="Times New Roman" w:hAnsi="Times New Roman"/>
          <w:b w:val="0"/>
          <w:i w:val="0"/>
          <w:color w:val="1D1C19"/>
          <w:sz w:val="18"/>
        </w:rPr>
        <w:t>Solo: 85% Agent / 15% Company; $288 for 12 months or $500 for 24 months; $12,000 annual Company Dollar cap.</w:t>
      </w:r>
    </w:p>
    <w:p>
      <w:pPr>
        <w:pStyle w:val="ListBullet"/>
      </w:pPr>
      <w:r>
        <w:rPr>
          <w:rFonts w:ascii="Times New Roman" w:hAnsi="Times New Roman"/>
          <w:b w:val="0"/>
          <w:i w:val="0"/>
          <w:color w:val="1D1C19"/>
          <w:sz w:val="18"/>
        </w:rPr>
        <w:t>Solo Pro: 100% commission mode; $3,650 annual plan fee; transaction fee of $200 for a commission check between $10,000 and $30,000, $500 between $30,000 and $100,000, and $1,000 above $100,000.</w:t>
      </w:r>
    </w:p>
    <w:p>
      <w:pPr>
        <w:pStyle w:val="ListBullet"/>
      </w:pPr>
      <w:r>
        <w:rPr>
          <w:rFonts w:ascii="Times New Roman" w:hAnsi="Times New Roman"/>
          <w:b w:val="0"/>
          <w:i w:val="0"/>
          <w:color w:val="1D1C19"/>
          <w:sz w:val="18"/>
        </w:rPr>
        <w:t>Team Member: 90% Agent Side / 10% Company; $288 for 12 months or $500 for 24 months; $10,000 annual Company Dollar cap. Team Split and Team Cap are governed separately by the accepted Team Compensation Configuration.</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Realty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Realty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t>[agent_address]</w:t>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t>[ica_effective_date]</w:t>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37-20 Prince St, STE 3H, Flushing, NY 11354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4) to, at all times maintain current/active membership in the Long Island Board of Realtors; all costs related thereto being born by Agent. In the event Agent failed to renew membership with Long Island Board of Realtors, Brokerage shall have the right to renew and pay for Agent’s renewal fee and deduct the net cost from Agent’s commission.</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Realty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fees assessed by OneKey Multiple Listing Service for failure to comply with submission requirements (e.g., photo submission late fees, etc.),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Realty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Realty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Realty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Realty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Agent Affiliation Agreement</dc:title>
  <dc:subject>Source-preserved two-entity Homix Agent agreement master</dc:subject>
  <dc:creator>Homix Realty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