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Realty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Realty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Realty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 xml:space="preserve">Selected compensation plan (read-only): </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Team Member</w:t>
            </w:r>
          </w:p>
        </w:tc>
        <w:tc>
          <w:tcPr>
            <w:tcW w:type="dxa" w:w="2420"/>
            <w:tcMar>
              <w:top w:w="45" w:type="dxa"/>
              <w:start w:w="120" w:type="dxa"/>
              <w:bottom w:w="45" w:type="dxa"/>
              <w:end w:w="120" w:type="dxa"/>
            </w:tcMar>
          </w:tcPr>
          <w:p>
            <w:r>
              <w:rPr>
                <w:rFonts w:ascii="Arial" w:hAnsi="Arial"/>
                <w:b w:val="0"/>
                <w:i w:val="0"/>
                <w:color w:val="1D1C19"/>
                <w:sz w:val="15"/>
              </w:rPr>
              <w:t>90% Agent Side / 10%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$10,000 Company cap; Team terms separate</w:t>
            </w:r>
          </w:p>
        </w:tc>
      </w:tr>
    </w:tbl>
    <w:p>
      <w:pPr>
        <w:pStyle w:val="Heading2"/>
      </w:pPr>
      <w:r>
        <w:t>Plan terms</w:t>
      </w:r>
    </w:p>
    <w:p>
      <w:pPr>
        <w:pStyle w:val="ListBullet"/>
      </w:pPr>
      <w:r>
        <w:rPr>
          <w:rFonts w:ascii="Times New Roman" w:hAnsi="Times New Roman"/>
          <w:b w:val="0"/>
          <w:i w:val="0"/>
          <w:color w:val="1D1C19"/>
          <w:sz w:val="18"/>
        </w:rPr>
        <w:t>Team Member: 90% Agent Side / 10% Company; $288 for 12 months or $500 for 24 months; $10,000 annual Company Dollar cap. Team Split and Team Cap are governed separately by the accepted Team Compensation Configuration.</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Realty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Realty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hr@homixny.com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37-20 Prince St, STE 3H, Flushing, NY 11354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4) to, at all times maintain current/active membership in the Long Island Board of Realtors; all costs related thereto being born by Agent. In the event Agent failed to renew membership with Long Island Board of Realtors, Brokerage shall have the right to renew and pay for Agent’s renewal fee and deduct the net cost from Agent’s commission.</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Realty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fees assessed by OneKey Multiple Listing Service for failure to comply with submission requirements (e.g., photo submission late fees, etc.),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Realty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Realty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Realty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Realty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Team Member Agent Affiliation Agreement</dc:title>
  <dc:subject>Source-preserved two-entity Homix Agent agreement master</dc:subject>
  <dc:creator>Homix Realty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