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The Impact of Renewable Energy on Climate Change Mitigation</w:t>
      </w:r>
    </w:p>
    <w:p>
      <w:r>
        <w:t>Climate change remains one of the most pressing challenges facing humanity in the twenty-first century. Global temperatures have risen by approximately 1.1 degrees Celsius since pre-industrial levels, driven primarily by greenhouse gas emissions from fossil fuel combustion. The scientific consensus indicates that limiting warming to 1.5 degrees Celsius requires rapid and far-reaching transitions in energy systems.</w:t>
      </w:r>
    </w:p>
    <w:p>
      <w:r>
        <w:t>Renewable energy sources, including solar, wind, and hydroelectric power, have experienced remarkable growth in recent decades. The International Energy Agency reports that renewable capacity additions reached record levels in 2023, with solar photovoltaic installations leading the expansion. Global investment in clean energy surpassed 1.7 trillion dollars in 2023.</w:t>
      </w:r>
    </w:p>
    <w:p>
      <w:pPr>
        <w:pStyle w:val="Heading2"/>
      </w:pPr>
      <w:r>
        <w:t>Key Challenges</w:t>
      </w:r>
    </w:p>
    <w:p>
      <w:pPr>
        <w:numPr>
          <w:ilvl w:val="0"/>
          <w:numId w:val="1"/>
        </w:numPr>
      </w:pPr>
      <w:r>
        <w:t>Energy storage remains a critical barrier, as solar and wind generation are inherently intermittent.</w:t>
      </w:r>
    </w:p>
    <w:p>
      <w:pPr>
        <w:numPr>
          <w:ilvl w:val="0"/>
          <w:numId w:val="1"/>
        </w:numPr>
      </w:pPr>
      <w:r>
        <w:t>Grid integration requires substantial infrastructure upgrades and sophisticated demand management systems.</w:t>
      </w:r>
    </w:p>
    <w:p>
      <w:pPr>
        <w:numPr>
          <w:ilvl w:val="0"/>
          <w:numId w:val="1"/>
        </w:numPr>
      </w:pPr>
      <w:r>
        <w:t>Policy coordination across jurisdictions is equally important, since energy markets operate within complex regulatory frameworks.</w:t>
      </w:r>
    </w:p>
    <w:p>
      <w:pPr>
        <w:pStyle w:val="Heading2"/>
      </w:pPr>
      <w:r>
        <w:t>Social Dimensions</w:t>
      </w:r>
    </w:p>
    <w:p>
      <w:r>
        <w:t>The social dimensions of the energy transition also warrant careful consideration. Communities historically dependent on fossil fuel extraction face economic disruption as demand shifts toward cleaner alternatives. A just transition framework must address workforce retraining, regional economic diversification, and equitable access to the benefits of renewable energy.</w:t>
      </w:r>
    </w:p>
    <w:p>
      <w:pPr>
        <w:pStyle w:val="Heading2"/>
      </w:pPr>
      <w:r>
        <w:t>References</w:t>
      </w:r>
    </w:p>
    <w:p>
      <w:r>
        <w:t>International Energy Agency. (2024). World Energy Outlook 2024. IEA Publications.</w:t>
      </w:r>
    </w:p>
    <w:p>
      <w:r>
        <w:t>Smith, J., &amp; Johnson, A. (2023). Solar energy deployment trajectories and climate outcomes. Nature Energy, 8(3), 215-230.</w:t>
      </w:r>
    </w:p>
    <w:p>
      <w:r>
        <w:t>Williams, R., Chen, L., &amp; Patel, S. (2023). Grid integration challenges for variable renewable energy. Energy Policy, 172, 113-128.</w:t>
      </w:r>
    </w:p>
    <w:p>
      <w:r>
        <w:t>O'Brien, K. &amp; Leichenko, R. (2022). Just transitions and the social dimensions of decarbonization. Annual Review of Environment and Resources, 47, 459-485.</w:t>
      </w:r>
    </w:p>
  </w:body>
</w:document>
</file>

<file path=word/_rels/document.xml.rels><?xml version="1.0" encoding="UTF-8" standalone="yes"?>
<Relationships xmlns="http://schemas.openxmlformats.org/package/2006/relationships">
</Relationships>
</file>