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aps/>
          <w:color w:val="D45A00"/>
          <w:sz w:val="18"/>
          <w:szCs w:val="18"/>
        </w:rPr>
        <w:t xml:space="preserve">МЕХАНИКА  ·  </w:t>
      </w:r>
      <w:r>
        <w:rPr>
          <w:rFonts w:ascii="Arial" w:cs="Arial" w:eastAsia="Arial" w:hAnsi="Arial"/>
          <w:caps/>
          <w:color w:val="5A6A7E"/>
          <w:sz w:val="18"/>
          <w:szCs w:val="18"/>
        </w:rPr>
        <w:t xml:space="preserve">Диагностика · Двигатели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35"/>
          <w:sz w:val="40"/>
          <w:szCs w:val="40"/>
        </w:rPr>
        <w:t xml:space="preserve">Анализ масла двигателя: что говорят результаты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Лабораторный анализ масла — самый информативный способ узнать о состоянии двигателя без его разборки. По 20 параметрам можно предсказать необходимость ремонта за 200–500 моточасов до отказа.</w:t>
      </w:r>
    </w:p>
    <w:p>
      <w:pPr>
        <w:pBdr>
          <w:bottom w:val="single" w:color="C4CDD8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1. Зачем анализировать масло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Масло в работающем двигателе переносит продукты износа деталей — каждый узел "подписывается" своими металлами. Одновременно масло стареет: накапливает кислоты, воду, несгоревшее топливо и сажу. Анализ позволяет: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Обнаружить начало износа конкретного узла (подшипники — свинец, поршни — алюминий, кольца/гильзы — железо, распредвал — хром).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Выявить попадание воды или топлива в масло до появления симптомов.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Оптимизировать интервал замены масла для конкретного режима эксплуатации.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Отслеживать динамику: сравнение с предыдущими пробами — главный инструмент.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2. Экспресс-тест на борту vs лабораторный анализ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3600"/>
      </w:tblGrid>
      <w:tr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25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Экспресс-тест</w:t>
            </w:r>
          </w:p>
        </w:tc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Лаборатория</w:t>
            </w:r>
          </w:p>
        </w:tc>
      </w:tr>
      <w:tr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Вязкость</w:t>
            </w:r>
          </w:p>
        </w:tc>
        <w:tc>
          <w:tcPr>
            <w:tcW w:type="dxa" w:w="25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Визуально / сравнительный тест</w:t>
            </w:r>
          </w:p>
        </w:tc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Точное значение кинематической вязкости</w:t>
            </w:r>
          </w:p>
        </w:tc>
      </w:tr>
      <w:tr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Вода</w:t>
            </w:r>
          </w:p>
        </w:tc>
        <w:tc>
          <w:tcPr>
            <w:tcW w:type="dxa" w:w="25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Треск на горячей пластине</w:t>
            </w:r>
          </w:p>
        </w:tc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Метод Карла Фишера, точность 0,01%</w:t>
            </w:r>
          </w:p>
        </w:tc>
      </w:tr>
      <w:tr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Металлы износа</w:t>
            </w:r>
          </w:p>
        </w:tc>
        <w:tc>
          <w:tcPr>
            <w:tcW w:type="dxa" w:w="25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Эмиссионная спектроскопия (ICP)</w:t>
            </w:r>
          </w:p>
        </w:tc>
      </w:tr>
      <w:tr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Нерастворимые отложения</w:t>
            </w:r>
          </w:p>
        </w:tc>
        <w:tc>
          <w:tcPr>
            <w:tcW w:type="dxa" w:w="25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Визуально (цвет, пятно)</w:t>
            </w:r>
          </w:p>
        </w:tc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Гравиметрический метод</w:t>
            </w:r>
          </w:p>
        </w:tc>
      </w:tr>
      <w:tr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Кислотное число (TAN)</w:t>
            </w:r>
          </w:p>
        </w:tc>
        <w:tc>
          <w:tcPr>
            <w:tcW w:type="dxa" w:w="25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Потенциометрическое титрование</w:t>
            </w:r>
          </w:p>
        </w:tc>
      </w:tr>
      <w:tr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Щелочное число (TBN)</w:t>
            </w:r>
          </w:p>
        </w:tc>
        <w:tc>
          <w:tcPr>
            <w:tcW w:type="dxa" w:w="25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То же, остаточный ресурс присадок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3. Ключевые параметры и их расшифровка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Металлы износа (ppm)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760"/>
      </w:tblGrid>
      <w:tr>
        <w:tc>
          <w:tcPr>
            <w:tcW w:type="dxa" w:w="1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Металл</w:t>
            </w:r>
          </w:p>
        </w:tc>
        <w:tc>
          <w:tcPr>
            <w:tcW w:type="dxa" w:w="3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Источник в двигателе</w:t>
            </w:r>
          </w:p>
        </w:tc>
        <w:tc>
          <w:tcPr>
            <w:tcW w:type="dxa" w:w="3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Тревожный порог</w:t>
            </w:r>
          </w:p>
        </w:tc>
      </w:tr>
      <w:tr>
        <w:tc>
          <w:tcPr>
            <w:tcW w:type="dxa" w:w="1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Железо (Fe)</w:t>
            </w:r>
          </w:p>
        </w:tc>
        <w:tc>
          <w:tcPr>
            <w:tcW w:type="dxa" w:w="3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Гильзы, кольца, шестерни</w:t>
            </w:r>
          </w:p>
        </w:tc>
        <w:tc>
          <w:tcPr>
            <w:tcW w:type="dxa" w:w="3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&gt; 60 ppm или рост &gt; 20 ppm за пробу</w:t>
            </w:r>
          </w:p>
        </w:tc>
      </w:tr>
      <w:tr>
        <w:tc>
          <w:tcPr>
            <w:tcW w:type="dxa" w:w="1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Свинец (Pb)</w:t>
            </w:r>
          </w:p>
        </w:tc>
        <w:tc>
          <w:tcPr>
            <w:tcW w:type="dxa" w:w="3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Вкладыши коленвала и шатуна</w:t>
            </w:r>
          </w:p>
        </w:tc>
        <w:tc>
          <w:tcPr>
            <w:tcW w:type="dxa" w:w="3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&gt; 30 ppm — критично</w:t>
            </w:r>
          </w:p>
        </w:tc>
      </w:tr>
      <w:tr>
        <w:tc>
          <w:tcPr>
            <w:tcW w:type="dxa" w:w="1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Алюминий (Al)</w:t>
            </w:r>
          </w:p>
        </w:tc>
        <w:tc>
          <w:tcPr>
            <w:tcW w:type="dxa" w:w="3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Поршни, крышки, помпа</w:t>
            </w:r>
          </w:p>
        </w:tc>
        <w:tc>
          <w:tcPr>
            <w:tcW w:type="dxa" w:w="3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&gt; 25 ppm</w:t>
            </w:r>
          </w:p>
        </w:tc>
      </w:tr>
      <w:tr>
        <w:tc>
          <w:tcPr>
            <w:tcW w:type="dxa" w:w="1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Хром (Cr)</w:t>
            </w:r>
          </w:p>
        </w:tc>
        <w:tc>
          <w:tcPr>
            <w:tcW w:type="dxa" w:w="3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Кольца, поверхности гильз</w:t>
            </w:r>
          </w:p>
        </w:tc>
        <w:tc>
          <w:tcPr>
            <w:tcW w:type="dxa" w:w="3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&gt; 10 ppm</w:t>
            </w:r>
          </w:p>
        </w:tc>
      </w:tr>
      <w:tr>
        <w:tc>
          <w:tcPr>
            <w:tcW w:type="dxa" w:w="1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Медь (Cu)</w:t>
            </w:r>
          </w:p>
        </w:tc>
        <w:tc>
          <w:tcPr>
            <w:tcW w:type="dxa" w:w="3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Подшипники, бронзовые втулки, теплообменник</w:t>
            </w:r>
          </w:p>
        </w:tc>
        <w:tc>
          <w:tcPr>
            <w:tcW w:type="dxa" w:w="3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&gt; 40 ppm</w:t>
            </w:r>
          </w:p>
        </w:tc>
      </w:tr>
      <w:tr>
        <w:tc>
          <w:tcPr>
            <w:tcW w:type="dxa" w:w="1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Натрий (Na)</w:t>
            </w:r>
          </w:p>
        </w:tc>
        <w:tc>
          <w:tcPr>
            <w:tcW w:type="dxa" w:w="3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Не от металлов — указывает на антифриз в масле</w:t>
            </w:r>
          </w:p>
        </w:tc>
        <w:tc>
          <w:tcPr>
            <w:tcW w:type="dxa" w:w="3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&gt; 20 ppm — тревога</w:t>
            </w:r>
          </w:p>
        </w:tc>
      </w:tr>
      <w:tr>
        <w:tc>
          <w:tcPr>
            <w:tcW w:type="dxa" w:w="1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Кремний (Si)</w:t>
            </w:r>
          </w:p>
        </w:tc>
        <w:tc>
          <w:tcPr>
            <w:tcW w:type="dxa" w:w="3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Абразивная пыль (попадает через воздушный фильтр)</w:t>
            </w:r>
          </w:p>
        </w:tc>
        <w:tc>
          <w:tcPr>
            <w:tcW w:type="dxa" w:w="3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&gt; 15 ppm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Вязкость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Вязкость ниже нормы: разжижение топливом (течь форсунок, неполное сгорание) — немедленно искать причину.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Вязкость выше нормы: окисление, загрязнение продуктами горения — масло переработало свой ресурс.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TBN (щелочное число)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TBN показывает остаточную способность масла нейтрализовывать кислоты. Свежее масло — 8–14 мг KOH/г. Когда TBN падает ниже 2 мг KOH/г, масло нейтрализовало все резервы — замена обязательна независимо от пробега.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4. Когда нужен капремонт, а когда достаточно заменить кольца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560"/>
      </w:tblGrid>
      <w:tr>
        <w:tc>
          <w:tcPr>
            <w:tcW w:type="dxa" w:w="3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Картина анализа</w:t>
            </w:r>
          </w:p>
        </w:tc>
        <w:tc>
          <w:tcPr>
            <w:tcW w:type="dxa" w:w="55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Вывод</w:t>
            </w:r>
          </w:p>
        </w:tc>
      </w:tr>
      <w:tr>
        <w:tc>
          <w:tcPr>
            <w:tcW w:type="dxa" w:w="3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Рост Fe + Al, снижение компрессии, нет металлов вкладышей</w:t>
            </w:r>
          </w:p>
        </w:tc>
        <w:tc>
          <w:tcPr>
            <w:tcW w:type="dxa" w:w="55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Износ колец и гильз → хонингование + кольца</w:t>
            </w:r>
          </w:p>
        </w:tc>
      </w:tr>
      <w:tr>
        <w:tc>
          <w:tcPr>
            <w:tcW w:type="dxa" w:w="3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Рост Pb + Cu, нормальные Fe/Al</w:t>
            </w:r>
          </w:p>
        </w:tc>
        <w:tc>
          <w:tcPr>
            <w:tcW w:type="dxa" w:w="55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Износ подшипников → замена вкладышей</w:t>
            </w:r>
          </w:p>
        </w:tc>
      </w:tr>
      <w:tr>
        <w:tc>
          <w:tcPr>
            <w:tcW w:type="dxa" w:w="3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Рост всех металлов + вода (Na)</w:t>
            </w:r>
          </w:p>
        </w:tc>
        <w:tc>
          <w:tcPr>
            <w:tcW w:type="dxa" w:w="55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Трещина ГБЦ или прокладки → ремонт ГБЦ</w:t>
            </w:r>
          </w:p>
        </w:tc>
      </w:tr>
      <w:tr>
        <w:tc>
          <w:tcPr>
            <w:tcW w:type="dxa" w:w="3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Высокий Si без роста Fe</w:t>
            </w:r>
          </w:p>
        </w:tc>
        <w:tc>
          <w:tcPr>
            <w:tcW w:type="dxa" w:w="55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Загрязнение воздушного фильтра → замена фильтра, осмотр гильз</w:t>
            </w:r>
          </w:p>
        </w:tc>
      </w:tr>
      <w:tr>
        <w:tc>
          <w:tcPr>
            <w:tcW w:type="dxa" w:w="3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Рост всех металлов + снижение TBN</w:t>
            </w:r>
          </w:p>
        </w:tc>
        <w:tc>
          <w:tcPr>
            <w:tcW w:type="dxa" w:w="55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Масло переработало ресурс → замена масла + повторный анализ</w:t>
            </w:r>
          </w:p>
        </w:tc>
      </w:tr>
      <w:tr>
        <w:tc>
          <w:tcPr>
            <w:tcW w:type="dxa" w:w="3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Стабильно высокий Pb длительно</w:t>
            </w:r>
          </w:p>
        </w:tc>
        <w:tc>
          <w:tcPr>
            <w:tcW w:type="dxa" w:w="55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Капремонт неизбежен, планируйте через 200–300 м/ч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5. Периодичность и как брать пробу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Пробу берут при горячем масле, перед заменой — так в ней максимум информации о работе.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Стандартный объём: 100 мл в чистый флакон лаборатории.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Не берите пробу сразу после доливки масла — результаты будут искажены.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Оптимально: каждые 200 м/ч или раз в сезон.</w:t>
      </w:r>
    </w:p>
    <w:p>
      <w:pPr>
        <w:pBdr>
          <w:bottom w:val="single" w:color="C4CDD8" w:sz="4" w:space="1"/>
        </w:pBdr>
        <w:spacing w:after="200" w:before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D45A00"/>
          <w:sz w:val="20"/>
          <w:szCs w:val="20"/>
        </w:rPr>
        <w:t xml:space="preserve">remont-katerov.ru</w:t>
      </w:r>
      <w:r>
        <w:rPr>
          <w:rFonts w:ascii="Arial" w:cs="Arial" w:eastAsia="Arial" w:hAnsi="Arial"/>
          <w:color w:val="5A6A7E"/>
          <w:sz w:val="20"/>
          <w:szCs w:val="20"/>
        </w:rPr>
        <w:t xml:space="preserve">  ·  Профессиональный судоремонт  ·  +7 (921) 772-71-77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5A6A7E"/>
        <w:sz w:val="26"/>
        <w:szCs w:val="2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color w:val="5A6A7E"/>
        <w:sz w:val="26"/>
        <w:szCs w:val="2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4F63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0"/>
      <w:outlineLvl w:val="0"/>
    </w:pPr>
    <w:rPr>
      <w:rFonts w:ascii="Arial" w:cs="Arial" w:eastAsia="Arial" w:hAnsi="Arial"/>
      <w:b/>
      <w:bCs/>
      <w:color w:val="1A2535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C4CDD8" w:sz="4" w:space="4"/>
      </w:pBdr>
      <w:spacing w:after="160" w:before="320"/>
      <w:outlineLvl w:val="1"/>
    </w:pPr>
    <w:rPr>
      <w:rFonts w:ascii="Arial" w:cs="Arial" w:eastAsia="Arial" w:hAnsi="Arial"/>
      <w:b/>
      <w:bCs/>
      <w:color w:val="1A25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E4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2026-06-02T21:15:51.211Z</dcterms:created>
  <dcterms:modified xsi:type="dcterms:W3CDTF">2026-06-02T21:15:51.211Z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