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aps/>
          <w:color w:val="D45A00"/>
          <w:sz w:val="18"/>
          <w:szCs w:val="18"/>
        </w:rPr>
        <w:t xml:space="preserve">ЭЛЕКТРИКА  ·  </w:t>
      </w:r>
      <w:r>
        <w:rPr>
          <w:rFonts w:ascii="Arial" w:cs="Arial" w:eastAsia="Arial" w:hAnsi="Arial"/>
          <w:caps/>
          <w:color w:val="5A6A7E"/>
          <w:sz w:val="18"/>
          <w:szCs w:val="18"/>
        </w:rPr>
        <w:t xml:space="preserve">Генераторы · Электросистемы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35"/>
          <w:sz w:val="40"/>
          <w:szCs w:val="40"/>
        </w:rPr>
        <w:t xml:space="preserve">Параллельная работа генераторов: требования и типичные проблемы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Параллельное включение судовых генераторов увеличивает надёжность и мощность энергосистемы, но требует строгого выполнения условий синхронизации. Ошибки монтажа или эксплуатации приводят к аварийным токам и выходу оборудования из строя.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1. Зачем включать генераторы параллельно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Резервирование: при отказе одного второй берёт нагрузку без потери питания.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Экономия топлива: в режиме малой нагрузки работает один агрегат, при пиковой нагрузке подключается второй.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Равномерный износ: наработка часов делится между агрегатами.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2. Условия синхронизации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Перед подключением второго генератора к шине необходимо выровнять четыре параметра: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960"/>
      </w:tblGrid>
      <w:tr>
        <w:tc>
          <w:tcPr>
            <w:tcW w:type="dxa" w:w="2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Допустимое отклонение</w:t>
            </w:r>
          </w:p>
        </w:tc>
        <w:tc>
          <w:tcPr>
            <w:tcW w:type="dxa" w:w="39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Последствие несоблюдения</w:t>
            </w:r>
          </w:p>
        </w:tc>
      </w:tr>
      <w:tr>
        <w:tc>
          <w:tcPr>
            <w:tcW w:type="dxa" w:w="2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Напряжение</w:t>
            </w:r>
          </w:p>
        </w:tc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± 5% от номинала</w:t>
            </w:r>
          </w:p>
        </w:tc>
        <w:tc>
          <w:tcPr>
            <w:tcW w:type="dxa" w:w="39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Уравнительный ток (circulating current), перегрев обмоток</w:t>
            </w:r>
          </w:p>
        </w:tc>
      </w:tr>
      <w:tr>
        <w:tc>
          <w:tcPr>
            <w:tcW w:type="dxa" w:w="2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Частота</w:t>
            </w:r>
          </w:p>
        </w:tc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± 0,2 Гц</w:t>
            </w:r>
          </w:p>
        </w:tc>
        <w:tc>
          <w:tcPr>
            <w:tcW w:type="dxa" w:w="39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Рывок нагрузки, возможен разнос</w:t>
            </w:r>
          </w:p>
        </w:tc>
      </w:tr>
      <w:tr>
        <w:tc>
          <w:tcPr>
            <w:tcW w:type="dxa" w:w="2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Фаза</w:t>
            </w:r>
          </w:p>
        </w:tc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&lt; 15° в момент включения</w:t>
            </w:r>
          </w:p>
        </w:tc>
        <w:tc>
          <w:tcPr>
            <w:tcW w:type="dxa" w:w="39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Ударный ток до 10 × In, разрушение обмоток</w:t>
            </w:r>
          </w:p>
        </w:tc>
      </w:tr>
      <w:tr>
        <w:tc>
          <w:tcPr>
            <w:tcW w:type="dxa" w:w="2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Последовательность фаз</w:t>
            </w:r>
          </w:p>
        </w:tc>
        <w:tc>
          <w:tcPr>
            <w:tcW w:type="dxa" w:w="28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Должна совпадать</w:t>
            </w:r>
          </w:p>
        </w:tc>
        <w:tc>
          <w:tcPr>
            <w:tcW w:type="dxa" w:w="39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Встречное вращение — немедленный КЗ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6"/>
          <w:szCs w:val="26"/>
        </w:rPr>
        <w:t xml:space="preserve">Критично: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синхронизация по фазе — наиболее опасный параметр. Встречно-фазное включение эквивалентно короткому замыканию на шинах.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3. Оборудование для синхронизации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Ручная синхронизация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Синхроноскоп (стрелочный или световой) показывает разность фаз между генераторами. Включение выполняется в момент прохождения стрелки через ноль. Требует опытного оператора.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Автоматическая синхронизация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Автоматический синхронизатор (например, ComAp InteliGen, Deif GPC-3) контролирует все параметры одновременно и подаёт команду на включение в оптимальный момент. Обязателен на судах с классом автоматизации A1 и выше.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4. Схема защиты от обратного тока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При падении нагрузки на одном из параллельно работающих генераторов он может перейти в режим двигателя, потребляя ток из шины. Это приводит к перегреву двигателя генераторного агрегата.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Реле обратной мощности (Reverse Power Relay) — отключает генератор при изменении направления активной мощности.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Уставка срабатывания: −3% от номинальной мощности (обратный ток 3% × Pном).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Задержка срабатывания: 5–10 с (исключает ложные отключения при переходных режимах).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5. Типичные ошибки монтажа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60"/>
      </w:tblGrid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Последствие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Разная последовательность фаз генераторов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Встречно-фазное включение → КЗ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Отсутствие реле обратной мощности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Мотор-режим → перегрев двигателя агрегата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Разные кабельные сечения от генераторов к шине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Неравномерное распределение нагрузки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Неравные характеристики регуляторов напряжения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Уравнительный ток, перегрев обмоток</w:t>
            </w:r>
          </w:p>
        </w:tc>
      </w:tr>
      <w:tr>
        <w:tc>
          <w:tcPr>
            <w:tcW w:type="dxa" w:w="36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Отсутствие блокировок между АВР и синхронизатором</w:t>
            </w:r>
          </w:p>
        </w:tc>
        <w:tc>
          <w:tcPr>
            <w:tcW w:type="dxa" w:w="53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Асинхронное включение при автопереключении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6. Симптомы нарушений в эксплуатации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Колебания напряжения и частоты — регуляторы "борются" друг с другом, не настроены на одинаковые характеристики.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Неравное разделение нагрузки — один генератор нагружен на 80%, второй на 20%, хотя должны быть 50/50.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Перегрев обмоток одного генератора — следствие уравнительного тока из-за разности напряжений.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Частые срабатывания реле обратной мощности — некорректная уставка или нестабильный регулятор частоты.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7. Балансировка нагрузки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После синхронизации активная нагрузка делится воздействием на регулятор топлива (изменением скорости двигателя), реактивная — регулятором возбуждения (изменением напряжения). Оба регулятора должны иметь одинаковые статизмы — обычно 3–5%.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0"/>
          <w:szCs w:val="20"/>
        </w:rPr>
        <w:t xml:space="preserve">remont-katerov.ru</w:t>
      </w:r>
      <w:r>
        <w:rPr>
          <w:rFonts w:ascii="Arial" w:cs="Arial" w:eastAsia="Arial" w:hAnsi="Arial"/>
          <w:color w:val="5A6A7E"/>
          <w:sz w:val="20"/>
          <w:szCs w:val="20"/>
        </w:rPr>
        <w:t xml:space="preserve">  ·  Профессиональный судоремонт  ·  +7 (921) 772-71-77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F6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A2535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4CDD8" w:sz="4" w:space="4"/>
      </w:pBdr>
      <w:spacing w:after="160" w:before="320"/>
      <w:outlineLvl w:val="1"/>
    </w:pPr>
    <w:rPr>
      <w:rFonts w:ascii="Arial" w:cs="Arial" w:eastAsia="Arial" w:hAnsi="Arial"/>
      <w:b/>
      <w:bCs/>
      <w:color w:val="1A25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2026-06-02T21:15:51.243Z</dcterms:created>
  <dcterms:modified xsi:type="dcterms:W3CDTF">2026-06-02T21:15:51.243Z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