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Açık Kaynak Yazılımda QMOOD Tabanlı Tasarım Kalitesinin Sürüm Bazlı Evrimi: jsoup Üzerine Bir Durum Çalışması</w:t>
      </w:r>
    </w:p>
    <w:p>
      <w:pPr>
        <w:spacing w:after="20" w:before="120"/>
        <w:jc w:val="center"/>
      </w:pPr>
      <w:r>
        <w:rPr>
          <w:rFonts w:ascii="Times New Roman" w:cs="Times New Roman" w:eastAsia="Times New Roman" w:hAnsi="Times New Roman"/>
          <w:sz w:val="22"/>
          <w:szCs w:val="22"/>
        </w:rPr>
        <w:t xml:space="preserve">[Ad Soyad], [Öğrenci No]</w:t>
      </w:r>
    </w:p>
    <w:p>
      <w:pPr>
        <w:spacing w:after="200"/>
        <w:jc w:val="center"/>
      </w:pPr>
      <w:r>
        <w:rPr>
          <w:rFonts w:ascii="Times New Roman" w:cs="Times New Roman" w:eastAsia="Times New Roman" w:hAnsi="Times New Roman"/>
          <w:i/>
          <w:iCs/>
          <w:sz w:val="18"/>
          <w:szCs w:val="18"/>
        </w:rPr>
        <w:t xml:space="preserve">Bilgisayar Mühendisliği Bölümü, [Üniversite Adı] — Yazılım Mimarisi ve Tasarım Yöntemleri</w:t>
      </w:r>
    </w:p>
    <w:p>
      <w:pPr>
        <w:spacing w:after="80" w:line="220"/>
        <w:jc w:val="both"/>
      </w:pPr>
      <w:r>
        <w:rPr>
          <w:rFonts w:ascii="Times New Roman" w:cs="Times New Roman" w:eastAsia="Times New Roman" w:hAnsi="Times New Roman"/>
          <w:b/>
          <w:bCs/>
          <w:i/>
          <w:iCs/>
          <w:sz w:val="18"/>
          <w:szCs w:val="18"/>
        </w:rPr>
        <w:t xml:space="preserve">Özet—</w:t>
      </w:r>
      <w:r>
        <w:rPr>
          <w:rFonts w:ascii="Times New Roman" w:cs="Times New Roman" w:eastAsia="Times New Roman" w:hAnsi="Times New Roman"/>
          <w:sz w:val="18"/>
          <w:szCs w:val="18"/>
        </w:rPr>
        <w:t xml:space="preserve">Yazılım sistemleri, değişen gereksinimler nedeniyle sürekli evrim geçirir; bu evrim sırasında tasarım kalitesinin nasıl değiştiğinin nesnel olarak izlenmesi, bakım maliyetlerinin ve teknik borcun yönetimi açısından kritik önemdedir. Bu çalışmada, açık kaynaklı Java HTML ayrıştırıcısı jsoup'un birbirini izleyen on sürümü (1.13.1–1.22.1), Bansiya ve Davis tarafından önerilen QMOOD (Quality Model for Object-Oriented Design) modeli temel alınarak incelenmiştir. Her sürümün kaynak kodundan CK aracı ile nesne yönelimli tasarım metrikleri çıkarılmış, bu metriklerden QMOOD tasarım özellikleri ve altı yüksek düzey kalite niteliği (yeniden kullanılabilirlik, esneklik, anlaşılabilirlik, işlevsellik, genişletilebilirlik, etkinlik) ile Toplam Kalite İndeksi (TQI) hesaplanmıştır. Bulgular, tasarım boyutu, bağlaşım ve sınıf karmaşıklığının düzenli olarak artarken kapsülleme ve kohezyonun gerilediğini; TQI'nin görünürde yükselmesine rağmen bu yükselişin büyük ölçüde boyut bağımlı terimlerden kaynaklandığını, gerçek bakım göstergelerinin ise bozulduğunu ortaya koymaktadır. Bu örüntü, Lehman'ın artan karmaşıklık yasası ve yazılım yaşlanması kavramıyla tutarlı bir teknik borç birikimine işaret etmektedir. Ayrıca dört büyük dil modeliyle (ChatGPT, Gemini, DeepSeek ve Claude Sonnet 4.6) yapılan bağımsız değerlendirmeler, anlaşılabilirliğin düşüşü ve işlevselliğin artışı konusunda QMOOD ile örtüşmüştür; modellerin çoğu yeniden kullanılabilirlik gibi boyut bağımlı niteliklerde QMOOD'un aksine bozulma öngörürken, QMOOD ağırlıklandırmasını sayısal olarak uygulayan model formül tabanlı sonuçlarla örtüşerek ayrışmanın yöntemsel kaynağını açığa çıkarmıştır.</w:t>
      </w:r>
    </w:p>
    <w:p>
      <w:pPr>
        <w:spacing w:after="160" w:line="220"/>
        <w:jc w:val="both"/>
      </w:pPr>
      <w:r>
        <w:rPr>
          <w:rFonts w:ascii="Times New Roman" w:cs="Times New Roman" w:eastAsia="Times New Roman" w:hAnsi="Times New Roman"/>
          <w:b/>
          <w:bCs/>
          <w:i/>
          <w:iCs/>
          <w:sz w:val="18"/>
          <w:szCs w:val="18"/>
        </w:rPr>
        <w:t xml:space="preserve">Anahtar Kelimeler—</w:t>
      </w:r>
      <w:r>
        <w:rPr>
          <w:rFonts w:ascii="Times New Roman" w:cs="Times New Roman" w:eastAsia="Times New Roman" w:hAnsi="Times New Roman"/>
          <w:sz w:val="18"/>
          <w:szCs w:val="18"/>
        </w:rPr>
        <w:t xml:space="preserve">yazılım kalitesi, QMOOD, nesne yönelimli metrikler, yazılım evrimi, teknik borç, CK metrikleri, jsoup.</w:t>
      </w:r>
    </w:p>
    <w:p>
      <w:pPr>
        <w:sectPr>
          <w:pgSz w:w="12240" w:h="15840" w:orient="portrait"/>
          <w:pgMar w:top="1080" w:right="1080" w:bottom="1080" w:left="1080" w:header="708" w:footer="708" w:gutter="0"/>
          <w:pgNumType/>
          <w:cols w:num="1"/>
          <w:docGrid w:linePitch="360"/>
        </w:sectPr>
      </w:pPr>
    </w:p>
    <w:p>
      <w:pPr>
        <w:spacing w:after="100" w:before="200"/>
        <w:jc w:val="center"/>
      </w:pPr>
      <w:r>
        <w:rPr>
          <w:rFonts w:ascii="Times New Roman" w:cs="Times New Roman" w:eastAsia="Times New Roman" w:hAnsi="Times New Roman"/>
          <w:b/>
          <w:bCs/>
          <w:caps/>
          <w:sz w:val="20"/>
          <w:szCs w:val="20"/>
        </w:rPr>
        <w:t xml:space="preserve">I. Giriş</w:t>
      </w:r>
    </w:p>
    <w:p>
      <w:pPr>
        <w:spacing w:after="0" w:line="240"/>
        <w:ind w:firstLine="220"/>
        <w:jc w:val="both"/>
      </w:pPr>
      <w:r>
        <w:rPr>
          <w:rFonts w:ascii="Times New Roman" w:cs="Times New Roman" w:eastAsia="Times New Roman" w:hAnsi="Times New Roman"/>
          <w:sz w:val="20"/>
          <w:szCs w:val="20"/>
        </w:rPr>
        <w:t xml:space="preserve">Yazılım, çevresindeki dünya ile etkileşim hâlinde olan ve bu nedenle sürekli değişime zorlanan bir üründür. Lehman, gerçek dünyada kullanılan (E-tipi) programların kullanışlı kalabilmek için kesintisiz biçimde değiştirilmesi gerektiğini ve her değişimle birlikte iç karmaşıklığın, bu karmaşıklığı azaltmak için özel çaba harcanmadıkça arttığını ifade etmiştir [1]. Parnas ise bu olguyu “yazılım yaşlanması” olarak adlandırmış ve tasarımın zaman içinde aşınmasının kaçınılmaz olduğunu vurgulamıştır [3]. Dolayısıyla bir yazılımın ardışık sürümleri boyunca tasarım kalitesinin nasıl seyrettiğini nesnel ölçütlerle izlemek, hem bakım maliyetlerini öngörmek hem de teknik borcu yönetmek açısından değerlidir.</w:t>
      </w:r>
    </w:p>
    <w:p>
      <w:pPr>
        <w:spacing w:after="0" w:line="240"/>
        <w:ind w:firstLine="220"/>
        <w:jc w:val="both"/>
      </w:pPr>
      <w:r>
        <w:rPr>
          <w:rFonts w:ascii="Times New Roman" w:cs="Times New Roman" w:eastAsia="Times New Roman" w:hAnsi="Times New Roman"/>
          <w:sz w:val="20"/>
          <w:szCs w:val="20"/>
        </w:rPr>
        <w:t xml:space="preserve">Nesne yönelimli tasarımın kalitesini ölçmek için literatürde çeşitli metrik kümeleri ve hiyerarşik kalite modelleri önerilmiştir. Chidamber ve Kemerer'in metrik kümesi (CK) bağlaşım, kohezyon ve kalıtım gibi yapısal özellikleri niceliklendirir [4]. Ancak bu düşük düzey metrikler, tek başlarına “yeniden kullanılabilirlik” veya “esneklik” gibi üst düzey kalite niteliklerini doğrudan ifade etmez. Bu boşluğu doldurmak üzere Bansiya ve Davis, tasarım metriklerini kalite niteliklerine bağlayan hiyerarşik QMOOD modelini geliştirmiştir [11].</w:t>
      </w:r>
    </w:p>
    <w:p>
      <w:pPr>
        <w:spacing w:after="0" w:line="240"/>
        <w:ind w:firstLine="220"/>
        <w:jc w:val="both"/>
      </w:pPr>
      <w:r>
        <w:rPr>
          <w:rFonts w:ascii="Times New Roman" w:cs="Times New Roman" w:eastAsia="Times New Roman" w:hAnsi="Times New Roman"/>
          <w:sz w:val="20"/>
          <w:szCs w:val="20"/>
        </w:rPr>
        <w:t xml:space="preserve">Bu çalışmanın amacı, açık kaynaklı jsoup kütüphanesinin on ardışık sürümünü QMOOD modeli temelinde analiz ederek tasarım kalitesinin sürümler arası evrimini ölçmek ve yorumlamaktır. Çalışmanın katkıları şunlardır: (i) CK aracıyla kaynak koddan elde edilen ham metriklerin QMOOD tasarım özelliklerine ve kalite niteliklerine dönüştürülmesine ilişkin uçtan uca, yeniden üretilebilir bir iş akışı; (ii) on sürüm boyunca kalite değişiminin ve teknik borç belirtilerinin niceliksel olarak ortaya konması; (iii) bulguların yazılım evrimi ve teknik borç yazını ışığında yorumlanması.</w:t>
      </w:r>
    </w:p>
    <w:p>
      <w:pPr>
        <w:spacing w:after="100" w:before="200"/>
        <w:jc w:val="center"/>
      </w:pPr>
      <w:r>
        <w:rPr>
          <w:rFonts w:ascii="Times New Roman" w:cs="Times New Roman" w:eastAsia="Times New Roman" w:hAnsi="Times New Roman"/>
          <w:b/>
          <w:bCs/>
          <w:caps/>
          <w:sz w:val="20"/>
          <w:szCs w:val="20"/>
        </w:rPr>
        <w:t xml:space="preserve">II. İlgili Çalışmalar</w:t>
      </w:r>
    </w:p>
    <w:p>
      <w:pPr>
        <w:spacing w:after="60" w:before="120"/>
        <w:jc w:val="left"/>
      </w:pPr>
      <w:r>
        <w:rPr>
          <w:rFonts w:ascii="Times New Roman" w:cs="Times New Roman" w:eastAsia="Times New Roman" w:hAnsi="Times New Roman"/>
          <w:i/>
          <w:iCs/>
          <w:sz w:val="20"/>
          <w:szCs w:val="20"/>
        </w:rPr>
        <w:t xml:space="preserve">A. Nesne Yönelimli Tasarım Metrikleri</w:t>
      </w:r>
    </w:p>
    <w:p>
      <w:pPr>
        <w:spacing w:after="0" w:line="240"/>
        <w:ind w:firstLine="220"/>
        <w:jc w:val="both"/>
      </w:pPr>
      <w:r>
        <w:rPr>
          <w:rFonts w:ascii="Times New Roman" w:cs="Times New Roman" w:eastAsia="Times New Roman" w:hAnsi="Times New Roman"/>
          <w:sz w:val="20"/>
          <w:szCs w:val="20"/>
        </w:rPr>
        <w:t xml:space="preserve">Chidamber ve Kemerer, ölçüm kuramına dayanan altı metrikten (WMC, DIT, NOC, CBO, RFC, LCOM) oluşan ve sınıflar arası bağlaşımı, sınıf içi kohezyonu, karmaşıklığı ve kalıtım hiyerarşisinin derinliğini niceliklendiren bir kümeyi önermiştir [4]; bu kümedeki WMC ölçütü, McCabe'nin çevrimsel karmaşıklık ölçümünü temel alır [8]. Li ve Henry, nesne yönelimli metriklerin bakım yapılabilirliği öngörmede kullanılabileceğini göstermiş ve MPC ile DAC gibi ek bağlaşım ölçütleri tanımlamıştır [5]. Basili, Briand ve Melo, bu metriklerin hata eğilimi gibi dışsal kalite göstergeleriyle istatistiksel olarak ilişkili olduğunu görgül biçimde doğrulamış [6]; Tang, Kao ve Chen de benzer görgül bulgular sunmuştur [7]. Bu metrikler, sonraki kalite modellerinin temel yapı taşlarını oluşturmuştur.</w:t>
      </w:r>
    </w:p>
    <w:p>
      <w:pPr>
        <w:spacing w:after="60" w:before="120"/>
        <w:jc w:val="left"/>
      </w:pPr>
      <w:r>
        <w:rPr>
          <w:rFonts w:ascii="Times New Roman" w:cs="Times New Roman" w:eastAsia="Times New Roman" w:hAnsi="Times New Roman"/>
          <w:i/>
          <w:iCs/>
          <w:sz w:val="20"/>
          <w:szCs w:val="20"/>
        </w:rPr>
        <w:t xml:space="preserve">B. Hiyerarşik Kalite Modelleri ve QMOOD</w:t>
      </w:r>
    </w:p>
    <w:p>
      <w:pPr>
        <w:spacing w:after="0" w:line="240"/>
        <w:ind w:firstLine="220"/>
        <w:jc w:val="both"/>
      </w:pPr>
      <w:r>
        <w:rPr>
          <w:rFonts w:ascii="Times New Roman" w:cs="Times New Roman" w:eastAsia="Times New Roman" w:hAnsi="Times New Roman"/>
          <w:sz w:val="20"/>
          <w:szCs w:val="20"/>
        </w:rPr>
        <w:t xml:space="preserve">Dromey, ürün özelliklerini ISO 9126 kalite nitelikleriyle ilişkilendiren genel bir yazılım ürünü kalite modeli önermiştir [10]. Bansiya ve Davis, Dromey'nin yaklaşımını genişleterek QMOOD modelini geliştirmiştir [11]. QMOOD, dört düzeyli bir hiyerarşidir: tasarım nitelikleri (L1), tasarım özellikleri (L2), tasarım metrikleri (L3) ve tasarım bileşenleri (L4). Model, kapsülleme, bağlaşım ve kohezyon gibi on bir tasarım özelliğini; yeniden kullanılabilirlik, esneklik, anlaşılabilirlik, işlevsellik, genişletilebilirlik ve etkinlik olmak üzere altı kalite niteliğine ağırlıklı doğrusal denklemlerle bağlar. Bu çalışmada da bu altı nitelik ve bunların toplamı olan TQI esas alınmıştır.</w:t>
      </w:r>
    </w:p>
    <w:p>
      <w:pPr>
        <w:spacing w:after="60" w:before="120"/>
        <w:jc w:val="left"/>
      </w:pPr>
      <w:r>
        <w:rPr>
          <w:rFonts w:ascii="Times New Roman" w:cs="Times New Roman" w:eastAsia="Times New Roman" w:hAnsi="Times New Roman"/>
          <w:i/>
          <w:iCs/>
          <w:sz w:val="20"/>
          <w:szCs w:val="20"/>
        </w:rPr>
        <w:t xml:space="preserve">C. Yazılım Evrimi ve Teknik Borç</w:t>
      </w:r>
    </w:p>
    <w:p>
      <w:pPr>
        <w:spacing w:after="0" w:line="240"/>
        <w:ind w:firstLine="220"/>
        <w:jc w:val="both"/>
      </w:pPr>
      <w:r>
        <w:rPr>
          <w:rFonts w:ascii="Times New Roman" w:cs="Times New Roman" w:eastAsia="Times New Roman" w:hAnsi="Times New Roman"/>
          <w:sz w:val="20"/>
          <w:szCs w:val="20"/>
        </w:rPr>
        <w:t xml:space="preserve">Lehman'ın yazılım evrimi yasaları, E-tipi sistemlerin sürekli değiştiğini, değiştikçe karmaşıklığının arttığını ve kalitesinin özel çaba harcanmadıkça gerilediğini öne sürer [1]; bu yasalar sonradan görgül verilerle güncellenmiştir [2]. Parnas, tasarımın zamanla bozulmasını “yazılım yaşlanması” olarak kavramsallaştırır [3]. Cunningham, gereksinimleri hızlı karşılamak için verilen ödünlerin ilerideki bakım maliyetini artırdığını anlatmak üzere “teknik borç” eğretilemesini ortaya atmıştır [12]. Kruchten ve arkadaşları bu eğretilemeyi kuramsal bir çerçeveye oturtmuş [13], Li, Avgeriou ve Liang ise teknik borç ve yönetimi üzerine sistematik bir haritalama çalışması sunmuştur [14]. Bu çalışmada bağlaşımın artması ve kohezyonun azalması gibi belirtiler, teknik borç birikiminin nesnel göstergeleri olarak yorumlanmaktadır.</w:t>
      </w:r>
    </w:p>
    <w:p>
      <w:pPr>
        <w:spacing w:after="100" w:before="200"/>
        <w:jc w:val="center"/>
      </w:pPr>
      <w:r>
        <w:rPr>
          <w:rFonts w:ascii="Times New Roman" w:cs="Times New Roman" w:eastAsia="Times New Roman" w:hAnsi="Times New Roman"/>
          <w:b/>
          <w:bCs/>
          <w:caps/>
          <w:sz w:val="20"/>
          <w:szCs w:val="20"/>
        </w:rPr>
        <w:t xml:space="preserve">III. Yöntem</w:t>
      </w:r>
    </w:p>
    <w:p>
      <w:pPr>
        <w:spacing w:after="60" w:before="120"/>
        <w:jc w:val="left"/>
      </w:pPr>
      <w:r>
        <w:rPr>
          <w:rFonts w:ascii="Times New Roman" w:cs="Times New Roman" w:eastAsia="Times New Roman" w:hAnsi="Times New Roman"/>
          <w:i/>
          <w:iCs/>
          <w:sz w:val="20"/>
          <w:szCs w:val="20"/>
        </w:rPr>
        <w:t xml:space="preserve">A. İnceleme Nesnesi</w:t>
      </w:r>
    </w:p>
    <w:p>
      <w:pPr>
        <w:spacing w:after="0" w:line="240"/>
        <w:ind w:firstLine="220"/>
        <w:jc w:val="both"/>
      </w:pPr>
      <w:r>
        <w:rPr>
          <w:rFonts w:ascii="Times New Roman" w:cs="Times New Roman" w:eastAsia="Times New Roman" w:hAnsi="Times New Roman"/>
          <w:sz w:val="20"/>
          <w:szCs w:val="20"/>
        </w:rPr>
        <w:t xml:space="preserve">İnceleme nesnesi olarak, açık kaynaklı (MIT lisanslı), olgun ve yaygın kullanılan bir Java HTML ayrıştırma kütüphanesi olan jsoup seçilmiştir [17]. jsoup'un saf nesne yönelimli yapısı, çok sayıda sürümünün bulunması ve kaynak kodunun kamuya açık olması, sürüm bazlı bir evrim çalışması için uygun bir zemin oluşturmaktadır. Analize, 1.13.1 sürümünden 1.22.1 sürümüne kadar yıllara yayılmış on ardışık kararlı sürüm dâhil edilmiştir.</w:t>
      </w:r>
    </w:p>
    <w:p>
      <w:pPr>
        <w:spacing w:after="60" w:before="120"/>
        <w:jc w:val="left"/>
      </w:pPr>
      <w:r>
        <w:rPr>
          <w:rFonts w:ascii="Times New Roman" w:cs="Times New Roman" w:eastAsia="Times New Roman" w:hAnsi="Times New Roman"/>
          <w:i/>
          <w:iCs/>
          <w:sz w:val="20"/>
          <w:szCs w:val="20"/>
        </w:rPr>
        <w:t xml:space="preserve">B. Metrik Çıkarımı</w:t>
      </w:r>
    </w:p>
    <w:p>
      <w:pPr>
        <w:spacing w:after="0" w:line="240"/>
        <w:ind w:firstLine="220"/>
        <w:jc w:val="both"/>
      </w:pPr>
      <w:r>
        <w:rPr>
          <w:rFonts w:ascii="Times New Roman" w:cs="Times New Roman" w:eastAsia="Times New Roman" w:hAnsi="Times New Roman"/>
          <w:sz w:val="20"/>
          <w:szCs w:val="20"/>
        </w:rPr>
        <w:t xml:space="preserve">Her sürümün kaynak kodu resmi depodan indirilmiş ve sınıf düzeyi metrikler, statik analizle çalışan ve derlemeye gerek duymayan CK aracı ile çıkarılmıştır [16]. Araç, her sınıf için CBO, DIT, NOC, RFC, WMC, LCOM gibi CK metriklerinin yanı sıra metot ve alan sayıları, görünürlük dağılımları gibi ek ölçütleri “class.csv” biçiminde üretmiştir. Yalnızca ana kaynak (src/main/java) dizini analiz edilerek test sınıflarının ölçümleri etkilemesi önlenmiştir.</w:t>
      </w:r>
    </w:p>
    <w:p>
      <w:pPr>
        <w:spacing w:after="60" w:before="120"/>
        <w:jc w:val="left"/>
      </w:pPr>
      <w:r>
        <w:rPr>
          <w:rFonts w:ascii="Times New Roman" w:cs="Times New Roman" w:eastAsia="Times New Roman" w:hAnsi="Times New Roman"/>
          <w:i/>
          <w:iCs/>
          <w:sz w:val="20"/>
          <w:szCs w:val="20"/>
        </w:rPr>
        <w:t xml:space="preserve">C. QMOOD Tasarım Özelliklerine Eşleme</w:t>
      </w:r>
    </w:p>
    <w:p>
      <w:pPr>
        <w:spacing w:after="0" w:line="240"/>
        <w:ind w:firstLine="220"/>
        <w:jc w:val="both"/>
      </w:pPr>
      <w:r>
        <w:rPr>
          <w:rFonts w:ascii="Times New Roman" w:cs="Times New Roman" w:eastAsia="Times New Roman" w:hAnsi="Times New Roman"/>
          <w:sz w:val="20"/>
          <w:szCs w:val="20"/>
        </w:rPr>
        <w:t xml:space="preserve">CK çıktısından, QMOOD'un on bir tasarım özelliği proje düzeyinde toplulaştırılmıştır. Tasarım boyutu (DSC) sınıf sayısı, karmaşıklık (NOM) sınıf başına ortalama metot sayısı, mesajlaşma (CIS) ortalama public metot sayısı, bağlaşım (DCC) ortalama CBO, soyutlama (ANA) ortalama kalıtım derinliği ve kapsülleme (DAM) gizli alanların toplam alanlara oranı olarak doğrudan ya da türetilerek elde edilmiştir. QMOOD'un özgün tanımlarında kohezyon (CAM) bir sınıftaki metotların parametre tiplerinin örtüşmesine, kompozisyon (MOA) kullanıcı tanımlı tipteki alan bildirimlerine, kalıtım (MFA) kalıtılan metotların erişilebilir metotlara oranına dayanır [11]. Bu üç özellik ile çokbiçimlilik (NOP), CK çıktısında doğrudan bulunmadığından, sırasıyla normalize LCOM ölçütüne (LCOM*) [9] dayanan kohezyon (1 − LCOM*), örnek alan sayısı, kalıtım derinliği tabanlı oran ve geçersiz kılınabilir metot sayısı kullanılarak yaklaşık biçimde hesaplanmıştır. Bu yaklaşımların kurma geçerliliğine etkisi VI. Bölümde tartışılmaktadır.</w:t>
      </w:r>
    </w:p>
    <w:p>
      <w:pPr>
        <w:spacing w:after="60" w:before="120"/>
        <w:jc w:val="left"/>
      </w:pPr>
      <w:r>
        <w:rPr>
          <w:rFonts w:ascii="Times New Roman" w:cs="Times New Roman" w:eastAsia="Times New Roman" w:hAnsi="Times New Roman"/>
          <w:i/>
          <w:iCs/>
          <w:sz w:val="20"/>
          <w:szCs w:val="20"/>
        </w:rPr>
        <w:t xml:space="preserve">D. Normalizasyon</w:t>
      </w:r>
    </w:p>
    <w:p>
      <w:pPr>
        <w:spacing w:after="0" w:line="240"/>
        <w:ind w:firstLine="220"/>
        <w:jc w:val="both"/>
      </w:pPr>
      <w:r>
        <w:rPr>
          <w:rFonts w:ascii="Times New Roman" w:cs="Times New Roman" w:eastAsia="Times New Roman" w:hAnsi="Times New Roman"/>
          <w:sz w:val="20"/>
          <w:szCs w:val="20"/>
        </w:rPr>
        <w:t xml:space="preserve">Tasarım özelliklerinin ölçekleri birbirinden büyük farklılık gösterdiğinden (örneğin DSC yüzlerce iken DAM 0–1 aralığındadır), karşılaştırılabilirlik için her özellik ilk sürümün (1.13.1) değerine bölünerek normalize edilmiştir. Böylece baz sürüm tüm özellikler için 1,0 değerini alır ve sonraki sürümler bağıl değişimi yansıtır. Bu yaklaşım, QMOOD değerlerinin mutlak değil bağıl olarak yorumlanması gerektiği ilkesiyle uyumludur.</w:t>
      </w:r>
    </w:p>
    <w:p>
      <w:pPr>
        <w:spacing w:after="60" w:before="120"/>
        <w:jc w:val="left"/>
      </w:pPr>
      <w:r>
        <w:rPr>
          <w:rFonts w:ascii="Times New Roman" w:cs="Times New Roman" w:eastAsia="Times New Roman" w:hAnsi="Times New Roman"/>
          <w:i/>
          <w:iCs/>
          <w:sz w:val="20"/>
          <w:szCs w:val="20"/>
        </w:rPr>
        <w:t xml:space="preserve">E. Kalite Niteliklerinin Hesaplanması</w:t>
      </w:r>
    </w:p>
    <w:p>
      <w:pPr>
        <w:spacing w:after="0" w:line="240"/>
        <w:ind w:firstLine="220"/>
        <w:jc w:val="both"/>
      </w:pPr>
      <w:r>
        <w:rPr>
          <w:rFonts w:ascii="Times New Roman" w:cs="Times New Roman" w:eastAsia="Times New Roman" w:hAnsi="Times New Roman"/>
          <w:sz w:val="20"/>
          <w:szCs w:val="20"/>
        </w:rPr>
        <w:t xml:space="preserve">Normalize tasarım özellikleri, QMOOD'un altı kalite niteliği denkleminde yerine konularak her sürüm için nitelik değerleri hesaplanmıştır. Örneğin yeniden kullanılabilirlik = 0,5·DSC − 0,25·DCC + 0,25·CAM + 0,5·CIS; etkinlik = 0,2·(ANA + DAM + MOA + MFA + NOP) biçimindedir [11]. Altı niteliğin toplamı Toplam Kalite İndeksi (TQI) olarak alınmıştır. Hazır kalite skorları kullanılmamış, tüm hesaplamalar ham metriklerden Python ortamında yeniden üretilebilir biçimde yapılmıştır.</w:t>
      </w:r>
    </w:p>
    <w:p>
      <w:pPr>
        <w:spacing w:after="100" w:before="200"/>
        <w:jc w:val="center"/>
      </w:pPr>
      <w:r>
        <w:rPr>
          <w:rFonts w:ascii="Times New Roman" w:cs="Times New Roman" w:eastAsia="Times New Roman" w:hAnsi="Times New Roman"/>
          <w:b/>
          <w:bCs/>
          <w:caps/>
          <w:sz w:val="20"/>
          <w:szCs w:val="20"/>
        </w:rPr>
        <w:t xml:space="preserve">IV. Bulgular</w:t>
      </w:r>
    </w:p>
    <w:p>
      <w:pPr>
        <w:spacing w:after="0" w:line="240"/>
        <w:ind w:firstLine="220"/>
        <w:jc w:val="both"/>
      </w:pPr>
      <w:r>
        <w:rPr>
          <w:rFonts w:ascii="Times New Roman" w:cs="Times New Roman" w:eastAsia="Times New Roman" w:hAnsi="Times New Roman"/>
          <w:sz w:val="20"/>
          <w:szCs w:val="20"/>
        </w:rPr>
        <w:t xml:space="preserve">Tablo I, seçili tasarım özelliklerinin sürümler boyunca ham değerlerini; Tablo II ise normalize girdilerle hesaplanan kalite niteliklerini ve TQI'yi göstermektedir. Tasarım boyutu (DSC) 242'den 290'a (%19,8), bağlaşım (DCC) 4,82'den 5,52'ye (%14,7), sınıf başına metot sayısı (NOM) 6,09'dan 7,24'e (%18,8) yükselmiştir. Buna karşılık kapsülleme (DAM) 0,752'den 0,654'e (%13,1) ve kohezyon (CAM) 0,853'ten 0,788'e (%7,7) gerilemiştir.</w:t>
      </w:r>
    </w:p>
    <w:p>
      <w:pPr>
        <w:spacing w:after="0" w:line="240"/>
        <w:ind w:firstLine="220"/>
        <w:jc w:val="both"/>
      </w:pPr>
      <w:r>
        <w:rPr>
          <w:rFonts w:ascii="Times New Roman" w:cs="Times New Roman" w:eastAsia="Times New Roman" w:hAnsi="Times New Roman"/>
          <w:sz w:val="20"/>
          <w:szCs w:val="20"/>
        </w:rPr>
        <w:t xml:space="preserve">Kalite nitelikleri düzeyinde işlevsellik (+%32,6), yeniden kullanılabilirlik (+%12,8) ve esneklik (+%11,8) belirgin biçimde artarken, anlaşılabilirlik baz sürüme göre yaklaşık %30 oranında kötüleşmiştir (değer −0,99'dan −1,29'a inmiştir). Genişletilebilirlik ve etkinlik göreli olarak durağan kalmıştır. TQI genel olarak 4,01'den 4,36'ya yükselmiş; ancak 1.20.1 sürümünde 4,20'ye gerileyip ardından toparlanan yerel bir düşüş gözlenmiştir. Şekil 1–6 bu eğilimleri görselleştirmektedir.</w:t>
      </w:r>
    </w:p>
    <w:p>
      <w:pPr>
        <w:sectPr>
          <w:type w:val="continuous"/>
          <w:pgSz w:w="12240" w:h="15840" w:orient="portrait"/>
          <w:pgMar w:top="1080" w:right="1080" w:bottom="1080" w:left="1080" w:header="708" w:footer="708" w:gutter="0"/>
          <w:pgNumType/>
          <w:cols w:space="360" w:num="2" w:equalWidth="true"/>
          <w:docGrid w:linePitch="360"/>
        </w:sectPr>
      </w:pPr>
    </w:p>
    <w:p>
      <w:pPr>
        <w:spacing w:after="40" w:before="120"/>
        <w:jc w:val="center"/>
      </w:pPr>
      <w:r>
        <w:rPr>
          <w:rFonts w:ascii="Times New Roman" w:cs="Times New Roman" w:eastAsia="Times New Roman" w:hAnsi="Times New Roman"/>
          <w:b/>
          <w:bCs/>
          <w:caps/>
          <w:sz w:val="16"/>
          <w:szCs w:val="16"/>
        </w:rPr>
        <w:t xml:space="preserve">Tablo I
</w:t>
      </w:r>
      <w:r>
        <w:rPr>
          <w:rFonts w:ascii="Times New Roman" w:cs="Times New Roman" w:eastAsia="Times New Roman" w:hAnsi="Times New Roman"/>
          <w:i/>
          <w:iCs/>
          <w:sz w:val="16"/>
          <w:szCs w:val="16"/>
        </w:rPr>
        <w:t xml:space="preserve">Seçili QMOOD tasarım özelliklerinin sürümlere göre ham değerleri</w:t>
      </w:r>
    </w:p>
    <w:tbl>
      <w:tblPr>
        <w:tblW w:type="dxa" w:w="6260"/>
        <w:tblBorders>
          <w:top w:val="single" w:color="auto" w:sz="4"/>
          <w:left w:val="single" w:color="auto" w:sz="4"/>
          <w:bottom w:val="single" w:color="auto" w:sz="4"/>
          <w:right w:val="single" w:color="auto" w:sz="4"/>
          <w:insideH w:val="single" w:color="auto" w:sz="4"/>
          <w:insideV w:val="single" w:color="auto" w:sz="4"/>
        </w:tblBorders>
      </w:tblPr>
      <w:tblGrid>
        <w:gridCol w:w="1100"/>
        <w:gridCol w:w="720"/>
        <w:gridCol w:w="720"/>
        <w:gridCol w:w="760"/>
        <w:gridCol w:w="760"/>
        <w:gridCol w:w="760"/>
        <w:gridCol w:w="720"/>
        <w:gridCol w:w="720"/>
      </w:tblGrid>
      <w:tr>
        <w:trPr>
          <w:tblHeader/>
        </w:trPr>
        <w:tc>
          <w:tcPr>
            <w:tcW w:type="dxa" w:w="110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Sürüm</w:t>
            </w:r>
          </w:p>
        </w:tc>
        <w:tc>
          <w:tcPr>
            <w:tcW w:type="dxa" w:w="72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DSC</w:t>
            </w:r>
          </w:p>
        </w:tc>
        <w:tc>
          <w:tcPr>
            <w:tcW w:type="dxa" w:w="72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DCC</w:t>
            </w:r>
          </w:p>
        </w:tc>
        <w:tc>
          <w:tcPr>
            <w:tcW w:type="dxa" w:w="76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CAM</w:t>
            </w:r>
          </w:p>
        </w:tc>
        <w:tc>
          <w:tcPr>
            <w:tcW w:type="dxa" w:w="76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DAM</w:t>
            </w:r>
          </w:p>
        </w:tc>
        <w:tc>
          <w:tcPr>
            <w:tcW w:type="dxa" w:w="76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MOA</w:t>
            </w:r>
          </w:p>
        </w:tc>
        <w:tc>
          <w:tcPr>
            <w:tcW w:type="dxa" w:w="72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NOP</w:t>
            </w:r>
          </w:p>
        </w:tc>
        <w:tc>
          <w:tcPr>
            <w:tcW w:type="dxa" w:w="72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NOM</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1.13.1</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242</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4.82</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0.853</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0.752</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0.905</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2.98</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6.09</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1.14.1</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246</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4.98</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0.852</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0.744</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0.919</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3.07</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6.28</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1.15.1</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250</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5.01</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0.842</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0.75</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0.976</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3.08</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6.35</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1.16.1</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253</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5.05</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0.835</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0.741</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0.992</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3.2</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6.52</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1.17.1</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261</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5.05</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0.806</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0.698</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1.077</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3.39</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6.79</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1.18.1</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265</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5.15</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0.806</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0.712</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1.113</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3.44</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6.89</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1.19.1</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270</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5.29</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0.799</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0.669</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1.144</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3.45</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6.99</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1.20.1</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275</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5.44</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0.795</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0.623</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1.091</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3.48</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7.18</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1.21.1</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285</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5.53</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0.792</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0.645</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1.095</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3.46</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7.19</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1.22.1</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290</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5.52</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0.788</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0.654</w:t>
            </w:r>
          </w:p>
        </w:tc>
        <w:tc>
          <w:tcPr>
            <w:tcW w:type="dxa" w:w="7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1.103</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3.45</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7.24</w:t>
            </w:r>
          </w:p>
        </w:tc>
      </w:tr>
    </w:tbl>
    <w:p>
      <w:pPr>
        <w:spacing w:after="160"/>
      </w:pPr>
    </w:p>
    <w:p>
      <w:pPr>
        <w:spacing w:after="40" w:before="120"/>
        <w:jc w:val="center"/>
      </w:pPr>
      <w:r>
        <w:rPr>
          <w:rFonts w:ascii="Times New Roman" w:cs="Times New Roman" w:eastAsia="Times New Roman" w:hAnsi="Times New Roman"/>
          <w:b/>
          <w:bCs/>
          <w:caps/>
          <w:sz w:val="16"/>
          <w:szCs w:val="16"/>
        </w:rPr>
        <w:t xml:space="preserve">Tablo II
</w:t>
      </w:r>
      <w:r>
        <w:rPr>
          <w:rFonts w:ascii="Times New Roman" w:cs="Times New Roman" w:eastAsia="Times New Roman" w:hAnsi="Times New Roman"/>
          <w:i/>
          <w:iCs/>
          <w:sz w:val="16"/>
          <w:szCs w:val="16"/>
        </w:rPr>
        <w:t xml:space="preserve">QMOOD kalite nitelikleri ve Toplam Kalite İndeksi (baz sürüme göre normalize)</w:t>
      </w:r>
    </w:p>
    <w:tbl>
      <w:tblPr>
        <w:tblW w:type="dxa" w:w="6940"/>
        <w:tblBorders>
          <w:top w:val="single" w:color="auto" w:sz="4"/>
          <w:left w:val="single" w:color="auto" w:sz="4"/>
          <w:bottom w:val="single" w:color="auto" w:sz="4"/>
          <w:right w:val="single" w:color="auto" w:sz="4"/>
          <w:insideH w:val="single" w:color="auto" w:sz="4"/>
          <w:insideV w:val="single" w:color="auto" w:sz="4"/>
        </w:tblBorders>
      </w:tblPr>
      <w:tblGrid>
        <w:gridCol w:w="1100"/>
        <w:gridCol w:w="820"/>
        <w:gridCol w:w="820"/>
        <w:gridCol w:w="900"/>
        <w:gridCol w:w="820"/>
        <w:gridCol w:w="900"/>
        <w:gridCol w:w="860"/>
        <w:gridCol w:w="720"/>
      </w:tblGrid>
      <w:tr>
        <w:trPr>
          <w:tblHeader/>
        </w:trPr>
        <w:tc>
          <w:tcPr>
            <w:tcW w:type="dxa" w:w="110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Sürüm</w:t>
            </w:r>
          </w:p>
        </w:tc>
        <w:tc>
          <w:tcPr>
            <w:tcW w:type="dxa" w:w="82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Reus.</w:t>
            </w:r>
          </w:p>
        </w:tc>
        <w:tc>
          <w:tcPr>
            <w:tcW w:type="dxa" w:w="82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Flex.</w:t>
            </w:r>
          </w:p>
        </w:tc>
        <w:tc>
          <w:tcPr>
            <w:tcW w:type="dxa" w:w="90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Underst.</w:t>
            </w:r>
          </w:p>
        </w:tc>
        <w:tc>
          <w:tcPr>
            <w:tcW w:type="dxa" w:w="82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Funct.</w:t>
            </w:r>
          </w:p>
        </w:tc>
        <w:tc>
          <w:tcPr>
            <w:tcW w:type="dxa" w:w="90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Extend.</w:t>
            </w:r>
          </w:p>
        </w:tc>
        <w:tc>
          <w:tcPr>
            <w:tcW w:type="dxa" w:w="86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Effect.</w:t>
            </w:r>
          </w:p>
        </w:tc>
        <w:tc>
          <w:tcPr>
            <w:tcW w:type="dxa" w:w="72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TQI</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1.13.1</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-0.99</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w:t>
            </w:r>
          </w:p>
        </w:tc>
        <w:tc>
          <w:tcPr>
            <w:tcW w:type="dxa" w:w="8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4.01</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1.14.1</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1.016</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1.012</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-1.029</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1.017</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0.992</w:t>
            </w:r>
          </w:p>
        </w:tc>
        <w:tc>
          <w:tcPr>
            <w:tcW w:type="dxa" w:w="8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1.004</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4.01</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1.15.1</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1.019</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1.045</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-1.044</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1.02</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0.997</w:t>
            </w:r>
          </w:p>
        </w:tc>
        <w:tc>
          <w:tcPr>
            <w:tcW w:type="dxa" w:w="8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1.022</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4.06</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1.16.1</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1.038</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1.068</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-1.08</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1.038</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1.014</w:t>
            </w:r>
          </w:p>
        </w:tc>
        <w:tc>
          <w:tcPr>
            <w:tcW w:type="dxa" w:w="8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1.032</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4.11</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1.17.1</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1.068</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1.134</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-1.159</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1.065</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1.053</w:t>
            </w:r>
          </w:p>
        </w:tc>
        <w:tc>
          <w:tcPr>
            <w:tcW w:type="dxa" w:w="8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1.054</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4.22</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1.18.1</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1.084</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1.16</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-1.17</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1.078</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1.025</w:t>
            </w:r>
          </w:p>
        </w:tc>
        <w:tc>
          <w:tcPr>
            <w:tcW w:type="dxa" w:w="8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1.059</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4.24</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1.19.1</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1.09</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1.158</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-1.212</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1.194</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1.01</w:t>
            </w:r>
          </w:p>
        </w:tc>
        <w:tc>
          <w:tcPr>
            <w:tcW w:type="dxa" w:w="8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1.055</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4.3</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1.20.1</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1.106</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1.111</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-1.264</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1.206</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1.004</w:t>
            </w:r>
          </w:p>
        </w:tc>
        <w:tc>
          <w:tcPr>
            <w:tcW w:type="dxa" w:w="8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1.034</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4.2</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1.21.1</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1.117</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1.112</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-1.284</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1.212</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1.031</w:t>
            </w:r>
          </w:p>
        </w:tc>
        <w:tc>
          <w:tcPr>
            <w:tcW w:type="dxa" w:w="8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1.055</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4.24</w:t>
            </w:r>
          </w:p>
        </w:tc>
      </w:tr>
      <w:tr>
        <w:tc>
          <w:tcPr>
            <w:tcW w:type="dxa" w:w="11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1.22.1</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1.128</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1.118</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-1.287</w:t>
            </w:r>
          </w:p>
        </w:tc>
        <w:tc>
          <w:tcPr>
            <w:tcW w:type="dxa" w:w="8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1.326</w:t>
            </w:r>
          </w:p>
        </w:tc>
        <w:tc>
          <w:tcPr>
            <w:tcW w:type="dxa" w:w="9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1.021</w:t>
            </w:r>
          </w:p>
        </w:tc>
        <w:tc>
          <w:tcPr>
            <w:tcW w:type="dxa" w:w="86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1.055</w:t>
            </w:r>
          </w:p>
        </w:tc>
        <w:tc>
          <w:tcPr>
            <w:tcW w:type="dxa" w:w="72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4.36</w:t>
            </w:r>
          </w:p>
        </w:tc>
      </w:tr>
    </w:tbl>
    <w:p>
      <w:pPr>
        <w:spacing w:after="80"/>
      </w:pPr>
    </w:p>
    <w:p>
      <w:pPr>
        <w:sectPr>
          <w:type w:val="continuous"/>
          <w:pgSz w:w="12240" w:h="15840" w:orient="portrait"/>
          <w:pgMar w:top="1080" w:right="1080" w:bottom="1080" w:left="1080" w:header="708" w:footer="708" w:gutter="0"/>
          <w:pgNumType/>
          <w:cols w:num="1"/>
          <w:docGrid w:linePitch="360"/>
        </w:sectPr>
      </w:pPr>
    </w:p>
    <w:p>
      <w:pPr>
        <w:spacing w:after="20"/>
      </w:pPr>
    </w:p>
    <w:p>
      <w:pPr>
        <w:sectPr>
          <w:type w:val="continuous"/>
          <w:pgSz w:w="12240" w:h="15840" w:orient="portrait"/>
          <w:pgMar w:top="1080" w:right="1080" w:bottom="1080" w:left="1080" w:header="708" w:footer="708" w:gutter="0"/>
          <w:pgNumType/>
          <w:cols w:space="360" w:num="2" w:equalWidth="true"/>
          <w:docGrid w:linePitch="360"/>
        </w:sectPr>
      </w:pPr>
    </w:p>
    <w:p>
      <w:pPr>
        <w:spacing w:after="40" w:before="120"/>
        <w:jc w:val="center"/>
      </w:pPr>
      <w:r>
        <w:drawing>
          <wp:inline distT="0" distB="0" distL="0" distR="0">
            <wp:extent cx="5852160" cy="31428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52160" cy="3142827"/>
                    </a:xfrm>
                    <a:prstGeom prst="rect">
                      <a:avLst/>
                    </a:prstGeom>
                  </pic:spPr>
                </pic:pic>
              </a:graphicData>
            </a:graphic>
          </wp:inline>
        </w:drawing>
      </w:r>
    </w:p>
    <w:p>
      <w:pPr>
        <w:spacing w:after="140"/>
        <w:jc w:val="center"/>
      </w:pPr>
      <w:r>
        <w:rPr>
          <w:rFonts w:ascii="Times New Roman" w:cs="Times New Roman" w:eastAsia="Times New Roman" w:hAnsi="Times New Roman"/>
          <w:b/>
          <w:bCs/>
          <w:sz w:val="16"/>
          <w:szCs w:val="16"/>
        </w:rPr>
        <w:t xml:space="preserve">Şekil 1. </w:t>
      </w:r>
      <w:r>
        <w:rPr>
          <w:rFonts w:ascii="Times New Roman" w:cs="Times New Roman" w:eastAsia="Times New Roman" w:hAnsi="Times New Roman"/>
          <w:sz w:val="16"/>
          <w:szCs w:val="16"/>
        </w:rPr>
        <w:t xml:space="preserve">Kalite niteliklerinin sürümlere göre değişimi.</w:t>
      </w:r>
    </w:p>
    <w:p>
      <w:pPr>
        <w:spacing w:after="40" w:before="120"/>
        <w:jc w:val="center"/>
      </w:pPr>
      <w:r>
        <w:drawing>
          <wp:inline distT="0" distB="0" distL="0" distR="0">
            <wp:extent cx="5852160" cy="27170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2717074"/>
                    </a:xfrm>
                    <a:prstGeom prst="rect">
                      <a:avLst/>
                    </a:prstGeom>
                  </pic:spPr>
                </pic:pic>
              </a:graphicData>
            </a:graphic>
          </wp:inline>
        </w:drawing>
      </w:r>
    </w:p>
    <w:p>
      <w:pPr>
        <w:spacing w:after="140"/>
        <w:jc w:val="center"/>
      </w:pPr>
      <w:r>
        <w:rPr>
          <w:rFonts w:ascii="Times New Roman" w:cs="Times New Roman" w:eastAsia="Times New Roman" w:hAnsi="Times New Roman"/>
          <w:b/>
          <w:bCs/>
          <w:sz w:val="16"/>
          <w:szCs w:val="16"/>
        </w:rPr>
        <w:t xml:space="preserve">Şekil 2. </w:t>
      </w:r>
      <w:r>
        <w:rPr>
          <w:rFonts w:ascii="Times New Roman" w:cs="Times New Roman" w:eastAsia="Times New Roman" w:hAnsi="Times New Roman"/>
          <w:sz w:val="16"/>
          <w:szCs w:val="16"/>
        </w:rPr>
        <w:t xml:space="preserve">Toplam Kalite İndeksi (TQI) değişimi.</w:t>
      </w:r>
    </w:p>
    <w:p>
      <w:pPr>
        <w:spacing w:after="40" w:before="120"/>
        <w:jc w:val="center"/>
      </w:pPr>
      <w:r>
        <w:drawing>
          <wp:inline distT="0" distB="0" distL="0" distR="0">
            <wp:extent cx="5852160" cy="2926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2926080"/>
                    </a:xfrm>
                    <a:prstGeom prst="rect">
                      <a:avLst/>
                    </a:prstGeom>
                  </pic:spPr>
                </pic:pic>
              </a:graphicData>
            </a:graphic>
          </wp:inline>
        </w:drawing>
      </w:r>
    </w:p>
    <w:p>
      <w:pPr>
        <w:spacing w:after="140"/>
        <w:jc w:val="center"/>
      </w:pPr>
      <w:r>
        <w:rPr>
          <w:rFonts w:ascii="Times New Roman" w:cs="Times New Roman" w:eastAsia="Times New Roman" w:hAnsi="Times New Roman"/>
          <w:b/>
          <w:bCs/>
          <w:sz w:val="16"/>
          <w:szCs w:val="16"/>
        </w:rPr>
        <w:t xml:space="preserve">Şekil 3. </w:t>
      </w:r>
      <w:r>
        <w:rPr>
          <w:rFonts w:ascii="Times New Roman" w:cs="Times New Roman" w:eastAsia="Times New Roman" w:hAnsi="Times New Roman"/>
          <w:sz w:val="16"/>
          <w:szCs w:val="16"/>
        </w:rPr>
        <w:t xml:space="preserve">Tasarım özelliklerinin normalize ısı haritası.</w:t>
      </w:r>
    </w:p>
    <w:p>
      <w:pPr>
        <w:spacing w:after="40" w:before="120"/>
        <w:jc w:val="center"/>
      </w:pPr>
      <w:r>
        <w:drawing>
          <wp:inline distT="0" distB="0" distL="0" distR="0">
            <wp:extent cx="329184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1840" cy="3291840"/>
                    </a:xfrm>
                    <a:prstGeom prst="rect">
                      <a:avLst/>
                    </a:prstGeom>
                  </pic:spPr>
                </pic:pic>
              </a:graphicData>
            </a:graphic>
          </wp:inline>
        </w:drawing>
      </w:r>
    </w:p>
    <w:p>
      <w:pPr>
        <w:spacing w:after="140"/>
        <w:jc w:val="center"/>
      </w:pPr>
      <w:r>
        <w:rPr>
          <w:rFonts w:ascii="Times New Roman" w:cs="Times New Roman" w:eastAsia="Times New Roman" w:hAnsi="Times New Roman"/>
          <w:b/>
          <w:bCs/>
          <w:sz w:val="16"/>
          <w:szCs w:val="16"/>
        </w:rPr>
        <w:t xml:space="preserve">Şekil 4. </w:t>
      </w:r>
      <w:r>
        <w:rPr>
          <w:rFonts w:ascii="Times New Roman" w:cs="Times New Roman" w:eastAsia="Times New Roman" w:hAnsi="Times New Roman"/>
          <w:sz w:val="16"/>
          <w:szCs w:val="16"/>
        </w:rPr>
        <w:t xml:space="preserve">İlk ve son sürümün kalite profili karşılaştırması.</w:t>
      </w:r>
    </w:p>
    <w:p>
      <w:pPr>
        <w:spacing w:after="40" w:before="12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743200"/>
                    </a:xfrm>
                    <a:prstGeom prst="rect">
                      <a:avLst/>
                    </a:prstGeom>
                  </pic:spPr>
                </pic:pic>
              </a:graphicData>
            </a:graphic>
          </wp:inline>
        </w:drawing>
      </w:r>
    </w:p>
    <w:p>
      <w:pPr>
        <w:spacing w:after="140"/>
        <w:jc w:val="center"/>
      </w:pPr>
      <w:r>
        <w:rPr>
          <w:rFonts w:ascii="Times New Roman" w:cs="Times New Roman" w:eastAsia="Times New Roman" w:hAnsi="Times New Roman"/>
          <w:b/>
          <w:bCs/>
          <w:sz w:val="16"/>
          <w:szCs w:val="16"/>
        </w:rPr>
        <w:t xml:space="preserve">Şekil 5. </w:t>
      </w:r>
      <w:r>
        <w:rPr>
          <w:rFonts w:ascii="Times New Roman" w:cs="Times New Roman" w:eastAsia="Times New Roman" w:hAnsi="Times New Roman"/>
          <w:sz w:val="16"/>
          <w:szCs w:val="16"/>
        </w:rPr>
        <w:t xml:space="preserve">İlk → son sürüm kalite değişimi (%).</w:t>
      </w:r>
    </w:p>
    <w:p>
      <w:pPr>
        <w:spacing w:after="40" w:before="120"/>
        <w:jc w:val="center"/>
      </w:pPr>
      <w:r>
        <w:drawing>
          <wp:inline distT="0" distB="0" distL="0" distR="0">
            <wp:extent cx="5120640" cy="3413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3413760"/>
                    </a:xfrm>
                    <a:prstGeom prst="rect">
                      <a:avLst/>
                    </a:prstGeom>
                  </pic:spPr>
                </pic:pic>
              </a:graphicData>
            </a:graphic>
          </wp:inline>
        </w:drawing>
      </w:r>
    </w:p>
    <w:p>
      <w:pPr>
        <w:spacing w:after="140"/>
        <w:jc w:val="center"/>
      </w:pPr>
      <w:r>
        <w:rPr>
          <w:rFonts w:ascii="Times New Roman" w:cs="Times New Roman" w:eastAsia="Times New Roman" w:hAnsi="Times New Roman"/>
          <w:b/>
          <w:bCs/>
          <w:sz w:val="16"/>
          <w:szCs w:val="16"/>
        </w:rPr>
        <w:t xml:space="preserve">Şekil 6. </w:t>
      </w:r>
      <w:r>
        <w:rPr>
          <w:rFonts w:ascii="Times New Roman" w:cs="Times New Roman" w:eastAsia="Times New Roman" w:hAnsi="Times New Roman"/>
          <w:sz w:val="16"/>
          <w:szCs w:val="16"/>
        </w:rPr>
        <w:t xml:space="preserve">Teknik borç ile ilişkili ham metriklerin trendi.</w:t>
      </w:r>
    </w:p>
    <w:p>
      <w:pPr>
        <w:sectPr>
          <w:type w:val="continuous"/>
          <w:pgSz w:w="12240" w:h="15840" w:orient="portrait"/>
          <w:pgMar w:top="1080" w:right="1080" w:bottom="1080" w:left="1080" w:header="708" w:footer="708" w:gutter="0"/>
          <w:pgNumType/>
          <w:cols w:num="1"/>
          <w:docGrid w:linePitch="360"/>
        </w:sectPr>
      </w:pPr>
    </w:p>
    <w:p>
      <w:pPr>
        <w:spacing w:after="100" w:before="200"/>
        <w:jc w:val="center"/>
      </w:pPr>
      <w:r>
        <w:rPr>
          <w:rFonts w:ascii="Times New Roman" w:cs="Times New Roman" w:eastAsia="Times New Roman" w:hAnsi="Times New Roman"/>
          <w:b/>
          <w:bCs/>
          <w:caps/>
          <w:sz w:val="20"/>
          <w:szCs w:val="20"/>
        </w:rPr>
        <w:t xml:space="preserve">V. Tartışma</w:t>
      </w:r>
    </w:p>
    <w:p>
      <w:pPr>
        <w:spacing w:after="0" w:line="240"/>
        <w:ind w:firstLine="220"/>
        <w:jc w:val="both"/>
      </w:pPr>
      <w:r>
        <w:rPr>
          <w:rFonts w:ascii="Times New Roman" w:cs="Times New Roman" w:eastAsia="Times New Roman" w:hAnsi="Times New Roman"/>
          <w:sz w:val="20"/>
          <w:szCs w:val="20"/>
        </w:rPr>
        <w:t xml:space="preserve">Bulgular ilk bakışta çelişkili görünmektedir: TQI yükselirken anlaşılabilirlik ve kapsülleme gibi göstergeler gerilemektedir. Bu çelişki, QMOOD denklemlerinin yapısı incelendiğinde açıklığa kavuşur. Yeniden kullanılabilirlik ve işlevsellik denklemleri büyük ölçüde tasarım boyutu (DSC) ve mesajlaşma (CIS) terimlerinden etkilenir; kod tabanı büyüdükçe bu terimler de büyür ve ilgili nitelikleri yukarı çeker. Dolayısıyla TQI'deki yükseliş, gerçek bir bakım kolaylığı iyileşmesinden çok, sistemin boyutsal büyümesinin bir yan ürünüdür.</w:t>
      </w:r>
    </w:p>
    <w:p>
      <w:pPr>
        <w:spacing w:after="0" w:line="240"/>
        <w:ind w:firstLine="220"/>
        <w:jc w:val="both"/>
      </w:pPr>
      <w:r>
        <w:rPr>
          <w:rFonts w:ascii="Times New Roman" w:cs="Times New Roman" w:eastAsia="Times New Roman" w:hAnsi="Times New Roman"/>
          <w:sz w:val="20"/>
          <w:szCs w:val="20"/>
        </w:rPr>
        <w:t xml:space="preserve">Gerçek bakım göstergeleri ise tersi yönde hareket etmektedir. Bağlaşımın artması (+%14,7) ile kohezyonun azalması (−%7,7) bir arada görüldüğünde, bu klasik bir mimari bozulma örüntüsüdür: modüller arası bağımlılık artarken sınıfların tek bir sorumluluğa odaklanması zayıflamaktadır. Kapsüllemenin gerilemesi (−%13,1) iç durumun dışarıya daha fazla açıldığını, anlaşılabilirliğin %30 düşmesi ise sistemin kavranmasının zorlaştığını göstermektedir. Bu örüntü, Lehman'ın artan karmaşıklık ve kalite gerilemesi yasalarıyla [1] ve Parnas'ın yazılım yaşlanması kavramıyla [3] doğrudan örtüşmekte; ortaya çıkan tablo, Cunningham'ın teknik borç eğretilemesi [12] ve sonraki çerçeveler [13], [14] çerçevesinde birikmiş bir teknik borç olarak yorumlanabilir.</w:t>
      </w:r>
    </w:p>
    <w:p>
      <w:pPr>
        <w:spacing w:after="0" w:line="240"/>
        <w:ind w:firstLine="220"/>
        <w:jc w:val="both"/>
      </w:pPr>
      <w:r>
        <w:rPr>
          <w:rFonts w:ascii="Times New Roman" w:cs="Times New Roman" w:eastAsia="Times New Roman" w:hAnsi="Times New Roman"/>
          <w:sz w:val="20"/>
          <w:szCs w:val="20"/>
        </w:rPr>
        <w:t xml:space="preserve">Ardışık sürüm analizi, 1.20.1 sürümünde TQI'de yerel bir düşüş olduğunu ortaya koymuştur. Bu düşüş, aynı sürümde kapsüllemenin (DAM) en düşük değerine (0,623) inmesi ve bağlaşımın yükselmesiyle açıklanabilir; sonraki sürümlerde kapsüllemenin kısmen toparlanması ve hiyerarşi sayısının artmasıyla TQI yeniden yükselmiştir. 1.22.1 sürümündeki işlevsellik sıçraması ise hiyerarşi sayısının (NOH) ve tasarım boyutunun artmasıyla ilişkilidir.</w:t>
      </w:r>
    </w:p>
    <w:p>
      <w:pPr>
        <w:spacing w:after="100" w:before="200"/>
        <w:jc w:val="center"/>
      </w:pPr>
      <w:r>
        <w:rPr>
          <w:rFonts w:ascii="Times New Roman" w:cs="Times New Roman" w:eastAsia="Times New Roman" w:hAnsi="Times New Roman"/>
          <w:b/>
          <w:bCs/>
          <w:caps/>
          <w:sz w:val="20"/>
          <w:szCs w:val="20"/>
        </w:rPr>
        <w:t xml:space="preserve">VI. LLM Destekli Kalite Değerlendirmesi</w:t>
      </w:r>
    </w:p>
    <w:p>
      <w:pPr>
        <w:spacing w:after="60" w:before="120"/>
        <w:jc w:val="left"/>
      </w:pPr>
      <w:r>
        <w:rPr>
          <w:rFonts w:ascii="Times New Roman" w:cs="Times New Roman" w:eastAsia="Times New Roman" w:hAnsi="Times New Roman"/>
          <w:i/>
          <w:iCs/>
          <w:sz w:val="20"/>
          <w:szCs w:val="20"/>
        </w:rPr>
        <w:t xml:space="preserve">A. Deney Düzeneği ve Kullanılan İstem</w:t>
      </w:r>
    </w:p>
    <w:p>
      <w:pPr>
        <w:spacing w:after="0" w:line="240"/>
        <w:ind w:firstLine="220"/>
        <w:jc w:val="both"/>
      </w:pPr>
      <w:r>
        <w:rPr>
          <w:rFonts w:ascii="Times New Roman" w:cs="Times New Roman" w:eastAsia="Times New Roman" w:hAnsi="Times New Roman"/>
          <w:sz w:val="20"/>
          <w:szCs w:val="20"/>
        </w:rPr>
        <w:t xml:space="preserve">Projenin ikinci aşamasında, elde edilen tasarım metriklerinin dört farklı büyük dil modeli — ChatGPT, Gemini, DeepSeek ve Claude Sonnet 4.6 — tarafından nasıl yorumlandığı incelenmiştir. Üç modele de birebir aynı istem (prompt) ve aynı girdi, yani sürümlere göre on bir tasarım özelliğini içeren ham metrik tablosu (Tablo I) verilmiştir. Karşılaştırmanın yanlılığını önlemek amacıyla modellere, bu çalışmada hesaplanan QMOOD kalite skorları verilmemiş; yalnızca ham metrikler sunularak modellerin bağımsız bir değerlendirme üretmesi istenmiştir.</w:t>
      </w:r>
    </w:p>
    <w:p>
      <w:pPr>
        <w:spacing w:after="0" w:line="240"/>
        <w:ind w:firstLine="220"/>
        <w:jc w:val="both"/>
      </w:pPr>
      <w:r>
        <w:rPr>
          <w:rFonts w:ascii="Times New Roman" w:cs="Times New Roman" w:eastAsia="Times New Roman" w:hAnsi="Times New Roman"/>
          <w:sz w:val="20"/>
          <w:szCs w:val="20"/>
        </w:rPr>
        <w:t xml:space="preserve">Kullanılan istem üç yinelemeyle son hâline getirilmiştir. İlk sürümde yalnızca “bu metrikleri değerlendir” denmiş; çıktılar yüzeysel kalmış ve modeller bazı kısaltmaları (örneğin yüksek DCC'yi olumlu) yanlış yorumlamıştır. İkinci sürümde metrik tanımları ve “yüksek = iyi/kötü” yönleri eklenerek yorumlar tutarlılaştırılmıştır. Üçüncü ve son sürümde istenen altı analiz başlığı, “yalnızca veriye dayan, uydurma” kısıtı ve yapılandırılmış çıktı biçimi tanımlanarak modeller arası karşılaştırma mümkün kılınmıştır. Modellere verilen son istem aşağıda sunulmuştur:</w:t>
      </w:r>
    </w:p>
    <w:p>
      <w:pPr>
        <w:sectPr>
          <w:type w:val="continuous"/>
          <w:pgSz w:w="12240" w:h="15840" w:orient="portrait"/>
          <w:pgMar w:top="1080" w:right="1080" w:bottom="1080" w:left="1080" w:header="708" w:footer="708" w:gutter="0"/>
          <w:pgNumType/>
          <w:cols w:space="360" w:num="2" w:equalWidth="true"/>
          <w:docGrid w:linePitch="360"/>
        </w:sectP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pPr>
              <w:spacing w:after="60"/>
            </w:pPr>
            <w:r>
              <w:rPr>
                <w:rFonts w:ascii="Times New Roman" w:cs="Times New Roman" w:eastAsia="Times New Roman" w:hAnsi="Times New Roman"/>
                <w:b/>
                <w:bCs/>
                <w:sz w:val="16"/>
                <w:szCs w:val="16"/>
              </w:rPr>
              <w:t xml:space="preserve">Kullanılan İstem (üç modele de aynen verilmiştir)</w:t>
            </w:r>
          </w:p>
          <w:p>
            <w:pPr>
              <w:spacing w:after="40" w:line="210"/>
              <w:jc w:val="both"/>
            </w:pPr>
            <w:r>
              <w:rPr>
                <w:rFonts w:ascii="Times New Roman" w:cs="Times New Roman" w:eastAsia="Times New Roman" w:hAnsi="Times New Roman"/>
                <w:b/>
                <w:bCs/>
                <w:sz w:val="16"/>
                <w:szCs w:val="16"/>
              </w:rPr>
              <w:t xml:space="preserve">Rol: </w:t>
            </w:r>
            <w:r>
              <w:rPr>
                <w:rFonts w:ascii="Times New Roman" w:cs="Times New Roman" w:eastAsia="Times New Roman" w:hAnsi="Times New Roman"/>
                <w:sz w:val="16"/>
                <w:szCs w:val="16"/>
              </w:rPr>
              <w:t xml:space="preserve">Nesne yönelimli yazılım tasarımı ve yazılım kalitesi metrikleri konusunda uzman bir yazılım mimarısın.</w:t>
            </w:r>
          </w:p>
          <w:p>
            <w:pPr>
              <w:spacing w:after="40" w:line="210"/>
              <w:jc w:val="both"/>
            </w:pPr>
            <w:r>
              <w:rPr>
                <w:rFonts w:ascii="Times New Roman" w:cs="Times New Roman" w:eastAsia="Times New Roman" w:hAnsi="Times New Roman"/>
                <w:b/>
                <w:bCs/>
                <w:sz w:val="16"/>
                <w:szCs w:val="16"/>
              </w:rPr>
              <w:t xml:space="preserve">Görev: </w:t>
            </w:r>
            <w:r>
              <w:rPr>
                <w:rFonts w:ascii="Times New Roman" w:cs="Times New Roman" w:eastAsia="Times New Roman" w:hAnsi="Times New Roman"/>
                <w:sz w:val="16"/>
                <w:szCs w:val="16"/>
              </w:rPr>
              <w:t xml:space="preserve">jsoup'un 10 ardışık sürümünden (1.13.1 → 1.22.1) statik analizle çıkarılmış nesne yönelimli tasarım metriklerini yorumlayarak tasarım kalitesinin sürümler boyunca nasıl evrildiğini analiz et. Yalnızca verilen sayısal verilere dayan; veride olmayan bilgileri uydurma. Emin olmadığın çıkarımları açıkça belirt.</w:t>
            </w:r>
          </w:p>
          <w:p>
            <w:pPr>
              <w:spacing w:after="40" w:line="210"/>
              <w:jc w:val="both"/>
            </w:pPr>
            <w:r>
              <w:rPr>
                <w:rFonts w:ascii="Times New Roman" w:cs="Times New Roman" w:eastAsia="Times New Roman" w:hAnsi="Times New Roman"/>
                <w:b/>
                <w:bCs/>
                <w:sz w:val="16"/>
                <w:szCs w:val="16"/>
              </w:rPr>
              <w:t xml:space="preserve">Metrik tanımları: </w:t>
            </w:r>
            <w:r>
              <w:rPr>
                <w:rFonts w:ascii="Times New Roman" w:cs="Times New Roman" w:eastAsia="Times New Roman" w:hAnsi="Times New Roman"/>
                <w:sz w:val="16"/>
                <w:szCs w:val="16"/>
              </w:rPr>
              <w:t xml:space="preserve">DSC, NOH, ANA, DAM (yüksek = iyi), DCC (yüksek = kötü), CAM (yüksek = iyi), MOA, MFA, NOP, CIS, NOM (yüksek = daha karmaşık). [Bölüm III'teki tanımların aynısı verilmiştir.]</w:t>
            </w:r>
          </w:p>
          <w:p>
            <w:pPr>
              <w:spacing w:after="40" w:line="210"/>
              <w:jc w:val="both"/>
            </w:pPr>
            <w:r>
              <w:rPr>
                <w:rFonts w:ascii="Times New Roman" w:cs="Times New Roman" w:eastAsia="Times New Roman" w:hAnsi="Times New Roman"/>
                <w:b/>
                <w:bCs/>
                <w:sz w:val="16"/>
                <w:szCs w:val="16"/>
              </w:rPr>
              <w:t xml:space="preserve">Veri: </w:t>
            </w:r>
            <w:r>
              <w:rPr>
                <w:rFonts w:ascii="Times New Roman" w:cs="Times New Roman" w:eastAsia="Times New Roman" w:hAnsi="Times New Roman"/>
                <w:sz w:val="16"/>
                <w:szCs w:val="16"/>
              </w:rPr>
              <w:t xml:space="preserve">On bir tasarım özelliğinin sürümlere göre ham değerlerini içeren tablo eklenmiştir (bkz. Tablo I).</w:t>
            </w:r>
          </w:p>
          <w:p>
            <w:pPr>
              <w:spacing w:after="40" w:line="210"/>
              <w:jc w:val="both"/>
            </w:pPr>
            <w:r>
              <w:rPr>
                <w:rFonts w:ascii="Times New Roman" w:cs="Times New Roman" w:eastAsia="Times New Roman" w:hAnsi="Times New Roman"/>
                <w:b/>
                <w:bCs/>
                <w:sz w:val="16"/>
                <w:szCs w:val="16"/>
              </w:rPr>
              <w:t xml:space="preserve">İstenen analizler: </w:t>
            </w:r>
            <w:r>
              <w:rPr>
                <w:rFonts w:ascii="Times New Roman" w:cs="Times New Roman" w:eastAsia="Times New Roman" w:hAnsi="Times New Roman"/>
                <w:sz w:val="16"/>
                <w:szCs w:val="16"/>
              </w:rPr>
              <w:t xml:space="preserve">Her biri ayrı başlık altında ve veriden sayısal örneklerle: (1) Genel kalite değerlendirmesi; (2) Bakım yapılabilirlik analizi (DCC, CAM, NOM, DAM); (3) Teknik borç tahmini (hangi sürümlerde, hangi metrikler); (4) Refactoring önerileri; (5) Mimari kalite yorumları (genişletilebilirlik, soyutlama, modülerlik); (6) Altı QMOOD niteliğinin eğilimi (Artıyor / Azalıyor / Durağan) — tablo biçiminde.</w:t>
            </w:r>
          </w:p>
          <w:p>
            <w:pPr>
              <w:spacing w:after="40" w:line="210"/>
              <w:jc w:val="both"/>
            </w:pPr>
            <w:r>
              <w:rPr>
                <w:rFonts w:ascii="Times New Roman" w:cs="Times New Roman" w:eastAsia="Times New Roman" w:hAnsi="Times New Roman"/>
                <w:b/>
                <w:bCs/>
                <w:sz w:val="16"/>
                <w:szCs w:val="16"/>
              </w:rPr>
              <w:t xml:space="preserve">Çıktı biçimi: </w:t>
            </w:r>
            <w:r>
              <w:rPr>
                <w:rFonts w:ascii="Times New Roman" w:cs="Times New Roman" w:eastAsia="Times New Roman" w:hAnsi="Times New Roman"/>
                <w:sz w:val="16"/>
                <w:szCs w:val="16"/>
              </w:rPr>
              <w:t xml:space="preserve">Altı başlık aynı sırayla; altıncı başlık tablo; sonda 3–4 cümlelik genel sonuç paragrafı.</w:t>
            </w:r>
          </w:p>
        </w:tc>
      </w:tr>
    </w:tbl>
    <w:p>
      <w:pPr>
        <w:spacing w:after="100"/>
      </w:pPr>
    </w:p>
    <w:p>
      <w:pPr>
        <w:sectPr>
          <w:type w:val="continuous"/>
          <w:pgSz w:w="12240" w:h="15840" w:orient="portrait"/>
          <w:pgMar w:top="1080" w:right="1080" w:bottom="1080" w:left="1080" w:header="708" w:footer="708" w:gutter="0"/>
          <w:pgNumType/>
          <w:cols w:num="1"/>
          <w:docGrid w:linePitch="360"/>
        </w:sectPr>
      </w:pPr>
    </w:p>
    <w:p>
      <w:pPr>
        <w:spacing w:after="60" w:before="120"/>
        <w:jc w:val="left"/>
      </w:pPr>
      <w:r>
        <w:rPr>
          <w:rFonts w:ascii="Times New Roman" w:cs="Times New Roman" w:eastAsia="Times New Roman" w:hAnsi="Times New Roman"/>
          <w:i/>
          <w:iCs/>
          <w:sz w:val="20"/>
          <w:szCs w:val="20"/>
        </w:rPr>
        <w:t xml:space="preserve">B. Model Çıktılarının Ayrıntılı Değerlendirmesi</w:t>
      </w:r>
    </w:p>
    <w:p>
      <w:pPr>
        <w:spacing w:after="0" w:line="240"/>
        <w:ind w:firstLine="220"/>
        <w:jc w:val="both"/>
      </w:pPr>
      <w:r>
        <w:rPr>
          <w:rFonts w:ascii="Times New Roman" w:cs="Times New Roman" w:eastAsia="Times New Roman" w:hAnsi="Times New Roman"/>
          <w:b/>
          <w:bCs/>
          <w:sz w:val="20"/>
          <w:szCs w:val="20"/>
        </w:rPr>
        <w:t xml:space="preserve">B.1 ChatGPT (eksiksiz değerlendirme). </w:t>
      </w:r>
      <w:r>
        <w:rPr>
          <w:rFonts w:ascii="Times New Roman" w:cs="Times New Roman" w:eastAsia="Times New Roman" w:hAnsi="Times New Roman"/>
          <w:sz w:val="20"/>
          <w:szCs w:val="20"/>
        </w:rPr>
        <w:t xml:space="preserve">On sürümün tamamını ele alan model, sistemin işlevsel olarak büyüdüğünü (DSC 242→290, +%19,8; NOH 2→4) ancak tasarım göstergelerinde kademeli bozulma yaşandığını belirtmiştir: bağlaşım DCC 4,82→5,52 (+%14,7) ve karmaşıklık NOM 6,09→7,24 (+%18,8) yükselirken kohezyon CAM 0,853→0,788 ve kapsülleme DAM 0,752→0,654 gerilemiştir. Model, soyutlamanın korunduğunu (ANA ≈ 2; MFA ≈ 0,24) ve kompozisyon kullanımının arttığını (MOA 0,90→1,10) doğru biçimde olumlu işaretler olarak ayırt etmiştir. Teknik borcun 1.17.1 sonrasında başladığını, en yoğun bozulmanın 1.20.1 sürümünde (DAM 0,623 ile en düşük) görüldüğünü ve sonraki sürümlerde kısmi toparlanmaya rağmen borcun tümüyle temizlenmediğini saptamıştır. Yeniden düzenleme önerileri olarak Bağımlılığın Ters Çevrilmesi, Extract Class/Method ve kapsüllemenin güçlendirilmesini sıralamıştır.</w:t>
      </w:r>
    </w:p>
    <w:p>
      <w:pPr>
        <w:spacing w:after="0" w:line="240"/>
        <w:ind w:firstLine="220"/>
        <w:jc w:val="both"/>
      </w:pPr>
      <w:r>
        <w:rPr>
          <w:rFonts w:ascii="Times New Roman" w:cs="Times New Roman" w:eastAsia="Times New Roman" w:hAnsi="Times New Roman"/>
          <w:b/>
          <w:bCs/>
          <w:sz w:val="20"/>
          <w:szCs w:val="20"/>
        </w:rPr>
        <w:t xml:space="preserve">B.2 Gemini (kısmi veriyle değerlendirme). </w:t>
      </w:r>
      <w:r>
        <w:rPr>
          <w:rFonts w:ascii="Times New Roman" w:cs="Times New Roman" w:eastAsia="Times New Roman" w:hAnsi="Times New Roman"/>
          <w:sz w:val="20"/>
          <w:szCs w:val="20"/>
        </w:rPr>
        <w:t xml:space="preserve">Bu model, kendisine ulaşan dosya kesitinde yalnızca 1.13.1–1.16.1 sürümlerinin okunabildiğini açıkça belirtmiş ve uydurma yapmama kuralına sadık kalarak çıkarımlarını yalnızca bu dört sürümün eğilimleri üzerine kurmuştur. Bu kısıtlı pencerede dahi DCC 4,81→5,05 artışını, CAM 0,85→0,83 düşüşünü, NOM 6,09→6,52 artışını ve DAM'ın hafif gerilemesini tespit ederek sistemi “şişman sınıf” (fat class) örüntüsüne kayan, monolitikleşen bir yapı olarak nitelemiştir. Soyutlama çekirdeğinin olgun (ANA ≈ 2,01; MFA ≈ 0,24 sabit), çokbiçimliliğin (NOP 2,98→3,19) artışıyla Açık/Kapalı İlkesi'ne uygunluğun korunduğunu vurgulamıştır. Belirleyici kısıt, değerlendirmenin on sürümün yalnızca ilk dördünü kapsamasıdır; dolayısıyla bulguları evrimin tamamını temsil etmez.</w:t>
      </w:r>
    </w:p>
    <w:p>
      <w:pPr>
        <w:spacing w:after="0" w:line="240"/>
        <w:ind w:firstLine="220"/>
        <w:jc w:val="both"/>
      </w:pPr>
      <w:r>
        <w:rPr>
          <w:rFonts w:ascii="Times New Roman" w:cs="Times New Roman" w:eastAsia="Times New Roman" w:hAnsi="Times New Roman"/>
          <w:b/>
          <w:bCs/>
          <w:sz w:val="20"/>
          <w:szCs w:val="20"/>
        </w:rPr>
        <w:t xml:space="preserve">B.3 DeepSeek (ayrıntılı, ancak bir metrik hatası içeren değerlendirme). </w:t>
      </w:r>
      <w:r>
        <w:rPr>
          <w:rFonts w:ascii="Times New Roman" w:cs="Times New Roman" w:eastAsia="Times New Roman" w:hAnsi="Times New Roman"/>
          <w:sz w:val="20"/>
          <w:szCs w:val="20"/>
        </w:rPr>
        <w:t xml:space="preserve">Model on sürümün tamamını ele almış; en önemli bozulmayı kapsüllemede (DAM 0,751→0,653) ve özellikle 1.16.1→1.17.1 geçişindeki keskin kırılmada (0,741→0,697) görerek 1.17.1'i bir tasarım revizyonu/dönüm noktası olarak işaretlemiştir. Bunu bağlaşım (DCC 4,81→5,52) ve karmaşıklık (NOM 6,09→7,23) artışıyla birlikte teknik borç birikimi olarak yorumlamıştır. Çokbiçimlilik (NOP 2,98→3,45) ve MFA'daki hafif artışı kalıtımın daha etkin kullanımı olarak olumlu değerlendirmiştir. Ancak model, kompozisyon metriği MOA'yı kohezyon CAM değerleriyle karıştırmış; MOA'nın gerçekte arttığı (0,905→1,103) bir dönemde onu “azalıyor” (0,85→0,79) olarak göstermiş ve etkinlik gerekçesini bu hatalı yorum üzerine kurmuştur. Yine de refactoring önerileri (Tell-Don't-Ask ile kapsülleme, SRP ve arayüzlerle bağlaşım azaltma, ortak davranışın üst sınıflara taşınması) tutarlıdır.</w:t>
      </w:r>
    </w:p>
    <w:p>
      <w:pPr>
        <w:spacing w:after="0" w:line="240"/>
        <w:ind w:firstLine="220"/>
        <w:jc w:val="both"/>
      </w:pPr>
      <w:r>
        <w:rPr>
          <w:rFonts w:ascii="Times New Roman" w:cs="Times New Roman" w:eastAsia="Times New Roman" w:hAnsi="Times New Roman"/>
          <w:b/>
          <w:bCs/>
          <w:sz w:val="20"/>
          <w:szCs w:val="20"/>
        </w:rPr>
        <w:t xml:space="preserve">B.4 Claude Sonnet 4.6 (QMOOD skorlarını sayısal hesaplayan değerlendirme). </w:t>
      </w:r>
      <w:r>
        <w:rPr>
          <w:rFonts w:ascii="Times New Roman" w:cs="Times New Roman" w:eastAsia="Times New Roman" w:hAnsi="Times New Roman"/>
          <w:sz w:val="20"/>
          <w:szCs w:val="20"/>
        </w:rPr>
        <w:t xml:space="preserve">Bu model de on sürümün tamamını ele almış ve diğerleriyle aynı yapısal teşhisi koymuştur: en ciddi gerileme kapsüllemede (DAM −%13,1), sürekli artış bağlaşım (DCC +%14,7) ve karmaşıklıkta (NOM +%18,8), kademeli düşüş kohezyonda (CAM −%7,7); buna karşılık kompozisyon (MOA +%21,9) ve çokbiçimlilik (NOP +%15,6) olumlu. Teknik borcun en yoğun olduğu dönemi 1.17.1–1.20.1 olarak belirlemiş ve 1.19.1→1.20.1 geçişini (en yüksek tek adım DCC artışı +0,148 ve en düşük DAM 0,623) en riskli nokta olarak işaretlemiştir; bu, bu çalışmadaki 1.20.1 TQI düşüşüyle birebir örtüşür. Modelin ayırt edici yönü, altı niteliği yalnızca niteliksel olarak değil, QMOOD ağırlıklandırmasıyla sayısal skorlar üreterek (örneğin yeniden kullanılabilirlik 0,664→0,738) değerlendirmesidir; bu nedenle eğilim kararları bu çalışmanın formül tabanlı QMOOD sonuçlarıyla büyük ölçüde örtüşmüştür.</w:t>
      </w:r>
    </w:p>
    <w:p>
      <w:pPr>
        <w:spacing w:after="60" w:before="120"/>
        <w:jc w:val="left"/>
      </w:pPr>
      <w:r>
        <w:rPr>
          <w:rFonts w:ascii="Times New Roman" w:cs="Times New Roman" w:eastAsia="Times New Roman" w:hAnsi="Times New Roman"/>
          <w:i/>
          <w:iCs/>
          <w:sz w:val="20"/>
          <w:szCs w:val="20"/>
        </w:rPr>
        <w:t xml:space="preserve">C. QMOOD Sonuçlarıyla Karşılaştırma</w:t>
      </w:r>
    </w:p>
    <w:p>
      <w:pPr>
        <w:spacing w:after="0" w:line="240"/>
        <w:ind w:firstLine="220"/>
        <w:jc w:val="both"/>
      </w:pPr>
      <w:r>
        <w:rPr>
          <w:rFonts w:ascii="Times New Roman" w:cs="Times New Roman" w:eastAsia="Times New Roman" w:hAnsi="Times New Roman"/>
          <w:sz w:val="20"/>
          <w:szCs w:val="20"/>
        </w:rPr>
        <w:t xml:space="preserve">Tablo III, altı kalite niteliğinin eğilimi açısından dört modelin değerlendirmelerini bu çalışmada hesaplanan QMOOD sonuçlarıyla karşılaştırmaktadır. İki nitelikte tam uzlaşma görülmektedir: beş kaynak da anlaşılabilirliğin azaldığı ve işlevselliğin arttığı konusunda hemfikirdir. Buna karşılık yeniden kullanılabilirlik, esneklik ve etkinlik niteliklerinde ayrışma vardır: QMOOD bu nitelikleri artan olarak hesaplarken ChatGPT, Gemini ve DeepSeek bunları azalan ya da durağan değerlendirmiş; QMOOD ağırlıklandırmasını sayısal uygulayan Claude Sonnet 4.6 ise bu çalışmanın sonuçlarıyla örtüşmüştür.</w:t>
      </w:r>
    </w:p>
    <w:p>
      <w:pPr>
        <w:sectPr>
          <w:type w:val="continuous"/>
          <w:pgSz w:w="12240" w:h="15840" w:orient="portrait"/>
          <w:pgMar w:top="1080" w:right="1080" w:bottom="1080" w:left="1080" w:header="708" w:footer="708" w:gutter="0"/>
          <w:pgNumType/>
          <w:cols w:space="360" w:num="2" w:equalWidth="true"/>
          <w:docGrid w:linePitch="360"/>
        </w:sectPr>
      </w:pPr>
    </w:p>
    <w:p>
      <w:pPr>
        <w:spacing w:after="40" w:before="120"/>
        <w:jc w:val="center"/>
      </w:pPr>
      <w:r>
        <w:rPr>
          <w:rFonts w:ascii="Times New Roman" w:cs="Times New Roman" w:eastAsia="Times New Roman" w:hAnsi="Times New Roman"/>
          <w:b/>
          <w:bCs/>
          <w:caps/>
          <w:sz w:val="16"/>
          <w:szCs w:val="16"/>
        </w:rPr>
        <w:t xml:space="preserve">Tablo III
</w:t>
      </w:r>
      <w:r>
        <w:rPr>
          <w:rFonts w:ascii="Times New Roman" w:cs="Times New Roman" w:eastAsia="Times New Roman" w:hAnsi="Times New Roman"/>
          <w:i/>
          <w:iCs/>
          <w:sz w:val="16"/>
          <w:szCs w:val="16"/>
        </w:rPr>
        <w:t xml:space="preserve">Altı QMOOD kalite niteliğinin eğilimi: bu çalışmanın hesaplaması ile üç dil modelinin değerlendirmesinin karşılaştırması</w:t>
      </w:r>
    </w:p>
    <w:tbl>
      <w:tblPr>
        <w:tblW w:type="dxa" w:w="8750"/>
        <w:tblBorders>
          <w:top w:val="single" w:color="auto" w:sz="4"/>
          <w:left w:val="single" w:color="auto" w:sz="4"/>
          <w:bottom w:val="single" w:color="auto" w:sz="4"/>
          <w:right w:val="single" w:color="auto" w:sz="4"/>
          <w:insideH w:val="single" w:color="auto" w:sz="4"/>
          <w:insideV w:val="single" w:color="auto" w:sz="4"/>
        </w:tblBorders>
      </w:tblPr>
      <w:tblGrid>
        <w:gridCol w:w="2150"/>
        <w:gridCol w:w="1500"/>
        <w:gridCol w:w="1300"/>
        <w:gridCol w:w="1050"/>
        <w:gridCol w:w="1250"/>
        <w:gridCol w:w="1500"/>
      </w:tblGrid>
      <w:tr>
        <w:trPr>
          <w:tblHeader/>
        </w:trPr>
        <w:tc>
          <w:tcPr>
            <w:tcW w:type="dxa" w:w="215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Nitelik</w:t>
            </w:r>
          </w:p>
        </w:tc>
        <w:tc>
          <w:tcPr>
            <w:tcW w:type="dxa" w:w="150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QMOOD (bu çalışma)</w:t>
            </w:r>
          </w:p>
        </w:tc>
        <w:tc>
          <w:tcPr>
            <w:tcW w:type="dxa" w:w="130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ChatGPT</w:t>
            </w:r>
          </w:p>
        </w:tc>
        <w:tc>
          <w:tcPr>
            <w:tcW w:type="dxa" w:w="105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Gemini</w:t>
            </w:r>
          </w:p>
        </w:tc>
        <w:tc>
          <w:tcPr>
            <w:tcW w:type="dxa" w:w="125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DeepSeek</w:t>
            </w:r>
          </w:p>
        </w:tc>
        <w:tc>
          <w:tcPr>
            <w:tcW w:type="dxa" w:w="1500"/>
            <w:tcBorders>
              <w:top w:val="single" w:color="000000" w:sz="4"/>
              <w:left w:val="single" w:color="000000" w:sz="4"/>
              <w:bottom w:val="single" w:color="000000" w:sz="4"/>
              <w:right w:val="single" w:color="000000" w:sz="4"/>
            </w:tcBorders>
            <w:shd w:fill="D9D9D9" w:val="clear"/>
            <w:tcMar>
              <w:top w:type="dxa" w:w="30"/>
              <w:left w:type="dxa" w:w="50"/>
              <w:bottom w:type="dxa" w:w="30"/>
              <w:right w:type="dxa" w:w="50"/>
            </w:tcMar>
            <w:vAlign w:val="center"/>
          </w:tcPr>
          <w:p>
            <w:pPr>
              <w:jc w:val="center"/>
            </w:pPr>
            <w:r>
              <w:rPr>
                <w:rFonts w:ascii="Times New Roman" w:cs="Times New Roman" w:eastAsia="Times New Roman" w:hAnsi="Times New Roman"/>
                <w:b/>
                <w:bCs/>
                <w:sz w:val="15"/>
                <w:szCs w:val="15"/>
              </w:rPr>
              <w:t xml:space="preserve">Claude S. 4.6</w:t>
            </w:r>
          </w:p>
        </w:tc>
      </w:tr>
      <w:tr>
        <w:tc>
          <w:tcPr>
            <w:tcW w:type="dxa" w:w="21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Yeniden Kullanılabilirlik</w:t>
            </w:r>
          </w:p>
        </w:tc>
        <w:tc>
          <w:tcPr>
            <w:tcW w:type="dxa" w:w="1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Artıyor</w:t>
            </w:r>
          </w:p>
        </w:tc>
        <w:tc>
          <w:tcPr>
            <w:tcW w:type="dxa" w:w="13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Azalıyor</w:t>
            </w:r>
          </w:p>
        </w:tc>
        <w:tc>
          <w:tcPr>
            <w:tcW w:type="dxa" w:w="10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Azalıyor</w:t>
            </w:r>
          </w:p>
        </w:tc>
        <w:tc>
          <w:tcPr>
            <w:tcW w:type="dxa" w:w="12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Azalıyor</w:t>
            </w:r>
          </w:p>
        </w:tc>
        <w:tc>
          <w:tcPr>
            <w:tcW w:type="dxa" w:w="1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Artıyor</w:t>
            </w:r>
          </w:p>
        </w:tc>
      </w:tr>
      <w:tr>
        <w:tc>
          <w:tcPr>
            <w:tcW w:type="dxa" w:w="21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Esneklik</w:t>
            </w:r>
          </w:p>
        </w:tc>
        <w:tc>
          <w:tcPr>
            <w:tcW w:type="dxa" w:w="1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Artıyor</w:t>
            </w:r>
          </w:p>
        </w:tc>
        <w:tc>
          <w:tcPr>
            <w:tcW w:type="dxa" w:w="13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Hafif azalıyor</w:t>
            </w:r>
          </w:p>
        </w:tc>
        <w:tc>
          <w:tcPr>
            <w:tcW w:type="dxa" w:w="10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Durağan</w:t>
            </w:r>
          </w:p>
        </w:tc>
        <w:tc>
          <w:tcPr>
            <w:tcW w:type="dxa" w:w="12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Azalıyor</w:t>
            </w:r>
          </w:p>
        </w:tc>
        <w:tc>
          <w:tcPr>
            <w:tcW w:type="dxa" w:w="1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Hafif artıyor</w:t>
            </w:r>
          </w:p>
        </w:tc>
      </w:tr>
      <w:tr>
        <w:tc>
          <w:tcPr>
            <w:tcW w:type="dxa" w:w="21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Anlaşılabilirlik</w:t>
            </w:r>
          </w:p>
        </w:tc>
        <w:tc>
          <w:tcPr>
            <w:tcW w:type="dxa" w:w="1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Azalıyor</w:t>
            </w:r>
          </w:p>
        </w:tc>
        <w:tc>
          <w:tcPr>
            <w:tcW w:type="dxa" w:w="13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Azalıyor</w:t>
            </w:r>
          </w:p>
        </w:tc>
        <w:tc>
          <w:tcPr>
            <w:tcW w:type="dxa" w:w="10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Azalıyor</w:t>
            </w:r>
          </w:p>
        </w:tc>
        <w:tc>
          <w:tcPr>
            <w:tcW w:type="dxa" w:w="12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Azalıyor</w:t>
            </w:r>
          </w:p>
        </w:tc>
        <w:tc>
          <w:tcPr>
            <w:tcW w:type="dxa" w:w="1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Azalıyor</w:t>
            </w:r>
          </w:p>
        </w:tc>
      </w:tr>
      <w:tr>
        <w:tc>
          <w:tcPr>
            <w:tcW w:type="dxa" w:w="21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İşlevsellik</w:t>
            </w:r>
          </w:p>
        </w:tc>
        <w:tc>
          <w:tcPr>
            <w:tcW w:type="dxa" w:w="1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Artıyor</w:t>
            </w:r>
          </w:p>
        </w:tc>
        <w:tc>
          <w:tcPr>
            <w:tcW w:type="dxa" w:w="13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Artıyor</w:t>
            </w:r>
          </w:p>
        </w:tc>
        <w:tc>
          <w:tcPr>
            <w:tcW w:type="dxa" w:w="10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Artıyor</w:t>
            </w:r>
          </w:p>
        </w:tc>
        <w:tc>
          <w:tcPr>
            <w:tcW w:type="dxa" w:w="12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Artıyor</w:t>
            </w:r>
          </w:p>
        </w:tc>
        <w:tc>
          <w:tcPr>
            <w:tcW w:type="dxa" w:w="1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Artıyor</w:t>
            </w:r>
          </w:p>
        </w:tc>
      </w:tr>
      <w:tr>
        <w:tc>
          <w:tcPr>
            <w:tcW w:type="dxa" w:w="21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Genişletilebilirlik</w:t>
            </w:r>
          </w:p>
        </w:tc>
        <w:tc>
          <w:tcPr>
            <w:tcW w:type="dxa" w:w="1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Durağan</w:t>
            </w:r>
          </w:p>
        </w:tc>
        <w:tc>
          <w:tcPr>
            <w:tcW w:type="dxa" w:w="13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Hafif artıyor</w:t>
            </w:r>
          </w:p>
        </w:tc>
        <w:tc>
          <w:tcPr>
            <w:tcW w:type="dxa" w:w="10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Artıyor</w:t>
            </w:r>
          </w:p>
        </w:tc>
        <w:tc>
          <w:tcPr>
            <w:tcW w:type="dxa" w:w="12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Kararsız</w:t>
            </w:r>
          </w:p>
        </w:tc>
        <w:tc>
          <w:tcPr>
            <w:tcW w:type="dxa" w:w="1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Durağan</w:t>
            </w:r>
          </w:p>
        </w:tc>
      </w:tr>
      <w:tr>
        <w:tc>
          <w:tcPr>
            <w:tcW w:type="dxa" w:w="21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Etkinlik</w:t>
            </w:r>
          </w:p>
        </w:tc>
        <w:tc>
          <w:tcPr>
            <w:tcW w:type="dxa" w:w="1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Hafif artıyor</w:t>
            </w:r>
          </w:p>
        </w:tc>
        <w:tc>
          <w:tcPr>
            <w:tcW w:type="dxa" w:w="13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Durağan</w:t>
            </w:r>
          </w:p>
        </w:tc>
        <w:tc>
          <w:tcPr>
            <w:tcW w:type="dxa" w:w="10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Azalıyor</w:t>
            </w:r>
          </w:p>
        </w:tc>
        <w:tc>
          <w:tcPr>
            <w:tcW w:type="dxa" w:w="125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Azalıyor</w:t>
            </w:r>
          </w:p>
        </w:tc>
        <w:tc>
          <w:tcPr>
            <w:tcW w:type="dxa" w:w="1500"/>
            <w:tcBorders>
              <w:top w:val="single" w:color="000000" w:sz="4"/>
              <w:left w:val="single" w:color="000000" w:sz="4"/>
              <w:bottom w:val="single" w:color="000000" w:sz="4"/>
              <w:right w:val="single" w:color="000000" w:sz="4"/>
            </w:tcBorders>
            <w:tcMar>
              <w:top w:type="dxa" w:w="30"/>
              <w:left w:type="dxa" w:w="50"/>
              <w:bottom w:type="dxa" w:w="30"/>
              <w:right w:type="dxa" w:w="50"/>
            </w:tcMar>
            <w:vAlign w:val="center"/>
          </w:tcPr>
          <w:p>
            <w:pPr>
              <w:jc w:val="center"/>
            </w:pPr>
            <w:r>
              <w:rPr>
                <w:rFonts w:ascii="Times New Roman" w:cs="Times New Roman" w:eastAsia="Times New Roman" w:hAnsi="Times New Roman"/>
                <w:b w:val="false"/>
                <w:bCs w:val="false"/>
                <w:sz w:val="15"/>
                <w:szCs w:val="15"/>
              </w:rPr>
              <w:t xml:space="preserve">Durağan</w:t>
            </w:r>
          </w:p>
        </w:tc>
      </w:tr>
    </w:tbl>
    <w:p>
      <w:pPr>
        <w:spacing w:after="80"/>
      </w:pPr>
    </w:p>
    <w:p>
      <w:pPr>
        <w:sectPr>
          <w:type w:val="continuous"/>
          <w:pgSz w:w="12240" w:h="15840" w:orient="portrait"/>
          <w:pgMar w:top="1080" w:right="1080" w:bottom="1080" w:left="1080" w:header="708" w:footer="708" w:gutter="0"/>
          <w:pgNumType/>
          <w:cols w:num="1"/>
          <w:docGrid w:linePitch="360"/>
        </w:sectPr>
      </w:pPr>
    </w:p>
    <w:p>
      <w:pPr>
        <w:spacing w:after="60" w:before="120"/>
        <w:jc w:val="left"/>
      </w:pPr>
      <w:r>
        <w:rPr>
          <w:rFonts w:ascii="Times New Roman" w:cs="Times New Roman" w:eastAsia="Times New Roman" w:hAnsi="Times New Roman"/>
          <w:i/>
          <w:iCs/>
          <w:sz w:val="20"/>
          <w:szCs w:val="20"/>
        </w:rPr>
        <w:t xml:space="preserve">D. Eleştirel Değerlendirme</w:t>
      </w:r>
    </w:p>
    <w:p>
      <w:pPr>
        <w:spacing w:after="0" w:line="240"/>
        <w:ind w:firstLine="220"/>
        <w:jc w:val="both"/>
      </w:pPr>
      <w:r>
        <w:rPr>
          <w:rFonts w:ascii="Times New Roman" w:cs="Times New Roman" w:eastAsia="Times New Roman" w:hAnsi="Times New Roman"/>
          <w:sz w:val="20"/>
          <w:szCs w:val="20"/>
        </w:rPr>
        <w:t xml:space="preserve">Tablo III'teki ayrışma, modellerin değerlendirme yöntemiyle yakından ilişkilidir. ChatGPT, Gemini ve DeepSeek metrikleri bir uygulayıcı mühendis sezgisiyle yorumlamış; artan bağlaşım ve azalan kohezyona ağırlık vererek yeniden kullanılabilirlik, esneklik ve etkinliği gerileyen olarak değerlendirmiştir. Buna karşılık Claude Sonnet 4.6, QMOOD ağırlıklandırmasını sayısal olarak uygulayarak bu nitelikleri — bu çalışmanın formül tabanlı hesabı gibi — artan ya da durağan bulmuştur. Bu durum çalışmanın merkezî gözlemini netleştirir: QMOOD'un yeniden kullanılabilirlik ve işlevsellik denklemleri büyük ölçüde tasarım boyutu (DSC) ve mesajlaşma (CIS) terimlerinden etkilendiğinden, kod tabanı büyüdükçe bu nitelikler mekanik olarak yükselir; sezgisel akıl yürüten modeller ise bu boyut etkisini göz ardı edip gerçek bakım maliyetindeki artışı yakalamaktadır. Dolayısıyla iki yaklaşım çelişmez, birbirini tamamlar.</w:t>
      </w:r>
    </w:p>
    <w:p>
      <w:pPr>
        <w:spacing w:after="0" w:line="240"/>
        <w:ind w:firstLine="220"/>
        <w:jc w:val="both"/>
      </w:pPr>
      <w:r>
        <w:rPr>
          <w:rFonts w:ascii="Times New Roman" w:cs="Times New Roman" w:eastAsia="Times New Roman" w:hAnsi="Times New Roman"/>
          <w:sz w:val="20"/>
          <w:szCs w:val="20"/>
        </w:rPr>
        <w:t xml:space="preserve">Modellerin güvenilirliği açısından dört gözlem öne çıkar. Birincisi, Gemini girdiyi tam okuyamamış ve değerlendirmesini yalnızca ilk dört sürüm (1.13.1–1.16.1) üzerinden yapmıştır; bu kısıtı açıkça belirtmesi olumlu olmakla birlikte, kısmi veriye dayanan sonuçları on sürümlük evrimi tam temsil etmez. İkincisi, DeepSeek kompozisyon metriğini (MOA) kohezyon (CAM) değerleriyle karıştırmış; MOA'nın aslında arttığı (0,905 → 1,103) bir dönemde onu azalıyor olarak göstermiş ve etkinlik gerekçesini bu hatalı yorum üzerine kurmuştur. Üçüncüsü, ChatGPT on sürümün tamamını ve MOA dâhil tüm metrikleri doğru yorumlayarak tutarlı bir değerlendirme sunmuştur. Dördüncüsü, Claude Sonnet 4.6 metrikleri doğru yorumlamanın yanı sıra QMOOD skorlarını sayısal olarak üreterek en şeffaf ve izlenebilir değerlendirmeyi sağlamıştır. Bu farklılıklar, dil modeli çıktılarının girdi bütünlüğü ve metrik temellendirmesi açısından mutlaka doğrulanması gerektiğini göstermektedir.</w:t>
      </w:r>
    </w:p>
    <w:p>
      <w:pPr>
        <w:spacing w:after="100" w:before="200"/>
        <w:jc w:val="center"/>
      </w:pPr>
      <w:r>
        <w:rPr>
          <w:rFonts w:ascii="Times New Roman" w:cs="Times New Roman" w:eastAsia="Times New Roman" w:hAnsi="Times New Roman"/>
          <w:b/>
          <w:bCs/>
          <w:caps/>
          <w:sz w:val="20"/>
          <w:szCs w:val="20"/>
        </w:rPr>
        <w:t xml:space="preserve">VII. Geçerlilik Tehditleri</w:t>
      </w:r>
    </w:p>
    <w:p>
      <w:pPr>
        <w:spacing w:after="0" w:line="240"/>
        <w:ind w:firstLine="220"/>
        <w:jc w:val="both"/>
      </w:pPr>
      <w:r>
        <w:rPr>
          <w:rFonts w:ascii="Times New Roman" w:cs="Times New Roman" w:eastAsia="Times New Roman" w:hAnsi="Times New Roman"/>
          <w:sz w:val="20"/>
          <w:szCs w:val="20"/>
        </w:rPr>
        <w:t xml:space="preserve">Kurma geçerliliği: QMOOD'un dört tasarım özelliği (CAM, MOA, MFA, NOP) CK çıktısında doğrudan bulunmadığından yaklaşık ölçütlerle hesaplanmıştır. Özellikle kompozisyon (MOA) ve kalıtım (MFA) için kullanılan ölçütler kabadır; bu özellikler, alan tipi ve kalıtılan metot bilgisini doğrudan üreten Designite gibi bir araçla ölçülerek doğrulanabilir; teknik borç ölçüm araçlarının karşılaştırmalı bir değerlendirmesi literatürde mevcuttur [15]. İç geçerlilik: Metrikler tek bir araçtan (CK) elde edilmiştir; ikinci bir araçla çapraz doğrulama, ölçüm yanlılığını azaltacaktır. Normalizasyonun baz sürüme göre yapılması, değerlerin mutlak değil bağıl yorumlanmasını gerektirir. Sonuç geçerliliği: LLM değerlendirmeleri tek seferlik üretimlerdir; modellerin olasılıksal doğası nedeniyle çıktılar tekrarlar arasında değişebilir. Dış geçerlilik: Çalışma tek bir sisteme (jsoup) ve dört modele dayandığından bulgular doğrudan genellenemez; farklı sistemler ve modellerle tekrarlanması gerekir.</w:t>
      </w:r>
    </w:p>
    <w:p>
      <w:pPr>
        <w:spacing w:after="100" w:before="200"/>
        <w:jc w:val="center"/>
      </w:pPr>
      <w:r>
        <w:rPr>
          <w:rFonts w:ascii="Times New Roman" w:cs="Times New Roman" w:eastAsia="Times New Roman" w:hAnsi="Times New Roman"/>
          <w:b/>
          <w:bCs/>
          <w:caps/>
          <w:sz w:val="20"/>
          <w:szCs w:val="20"/>
        </w:rPr>
        <w:t xml:space="preserve">VIII. Sonuç ve Gelecek Çalışmalar</w:t>
      </w:r>
    </w:p>
    <w:p>
      <w:pPr>
        <w:spacing w:after="0" w:line="240"/>
        <w:ind w:firstLine="220"/>
        <w:jc w:val="both"/>
      </w:pPr>
      <w:r>
        <w:rPr>
          <w:rFonts w:ascii="Times New Roman" w:cs="Times New Roman" w:eastAsia="Times New Roman" w:hAnsi="Times New Roman"/>
          <w:sz w:val="20"/>
          <w:szCs w:val="20"/>
        </w:rPr>
        <w:t xml:space="preserve">Bu çalışmada jsoup kütüphanesinin on ardışık sürümü QMOOD modeliyle analiz edilmiş ve tasarım kalitesinin evrimi hem niceliksel olarak hem de dört büyük dil modelinin niteliksel değerlendirmeleriyle ortaya konmuştur. Sonuçlar, sistemin boyut, bağlaşım ve karmaşıklık bakımından büyürken kapsülleme, kohezyon ve anlaşılabilirlik bakımından gerilediğini; TQI'deki görünür artışın boyut bağımlı terimlerden kaynaklandığını ve gerçek bakım göstergelerinin bir teknik borç birikimine işaret ettiğini göstermektedir. Sezgisel akıl yürüten modeller yeniden kullanılabilirlik gibi niteliklerde QMOOD'un aksine bozulma öngörerek gerçek bakım maliyetine dikkat çekmiş; QMOOD ağırlıklandırmasını sayısal uygulayan model ise formül tabanlı sonuçları doğrulamıştır.</w:t>
      </w:r>
    </w:p>
    <w:p>
      <w:pPr>
        <w:spacing w:after="0" w:line="240"/>
        <w:ind w:firstLine="220"/>
        <w:jc w:val="both"/>
      </w:pPr>
      <w:r>
        <w:rPr>
          <w:rFonts w:ascii="Times New Roman" w:cs="Times New Roman" w:eastAsia="Times New Roman" w:hAnsi="Times New Roman"/>
          <w:sz w:val="20"/>
          <w:szCs w:val="20"/>
        </w:rPr>
        <w:t xml:space="preserve">Gelecek çalışmalar olarak, yaklaşık hesaplanan tasarım özelliklerinin (özellikle MOA ve MFA) Designite gibi araçlarla doğrulanması, LLM değerlendirmelerinin tekrarlanabilirliğini ölçmek için her modelden birden çok çıktı alınması ve analizin farklı alan ve ölçeklerdeki açık kaynak sistemlere genişletilmesi hedeflenmektedir.</w:t>
      </w:r>
    </w:p>
    <w:p>
      <w:pPr>
        <w:spacing w:after="100" w:before="200"/>
        <w:jc w:val="center"/>
      </w:pPr>
      <w:r>
        <w:rPr>
          <w:rFonts w:ascii="Times New Roman" w:cs="Times New Roman" w:eastAsia="Times New Roman" w:hAnsi="Times New Roman"/>
          <w:b/>
          <w:bCs/>
          <w:caps/>
          <w:sz w:val="20"/>
          <w:szCs w:val="20"/>
        </w:rPr>
        <w:t xml:space="preserve">Kaynaklar</w:t>
      </w:r>
    </w:p>
    <w:p>
      <w:pPr>
        <w:spacing w:after="40" w:line="220"/>
        <w:ind w:left="260" w:hanging="260"/>
        <w:jc w:val="both"/>
      </w:pPr>
      <w:r>
        <w:rPr>
          <w:rFonts w:ascii="Times New Roman" w:cs="Times New Roman" w:eastAsia="Times New Roman" w:hAnsi="Times New Roman"/>
          <w:sz w:val="18"/>
          <w:szCs w:val="18"/>
        </w:rPr>
        <w:t xml:space="preserve">[1] M. M. Lehman, “Programs, life cycles, and laws of software evolution,” Proc. IEEE, vol. 68, no. 9, pp. 1060–1076, Sep. 1980.</w:t>
      </w:r>
    </w:p>
    <w:p>
      <w:pPr>
        <w:spacing w:after="40" w:line="220"/>
        <w:ind w:left="260" w:hanging="260"/>
        <w:jc w:val="both"/>
      </w:pPr>
      <w:r>
        <w:rPr>
          <w:rFonts w:ascii="Times New Roman" w:cs="Times New Roman" w:eastAsia="Times New Roman" w:hAnsi="Times New Roman"/>
          <w:sz w:val="18"/>
          <w:szCs w:val="18"/>
        </w:rPr>
        <w:t xml:space="preserve">[2] M. M. Lehman, J. F. Ramil, P. D. Wernick, D. E. Perry, and W. M. Turski, “Metrics and laws of software evolution—the nineties view,” in Proc. 4th Int. Softw. Metrics Symp. (METRICS), 1997, pp. 20–32.</w:t>
      </w:r>
    </w:p>
    <w:p>
      <w:pPr>
        <w:spacing w:after="40" w:line="220"/>
        <w:ind w:left="260" w:hanging="260"/>
        <w:jc w:val="both"/>
      </w:pPr>
      <w:r>
        <w:rPr>
          <w:rFonts w:ascii="Times New Roman" w:cs="Times New Roman" w:eastAsia="Times New Roman" w:hAnsi="Times New Roman"/>
          <w:sz w:val="18"/>
          <w:szCs w:val="18"/>
        </w:rPr>
        <w:t xml:space="preserve">[3] D. L. Parnas, “Software aging,” in Proc. 16th Int. Conf. Softw. Eng. (ICSE), 1994, pp. 279–287.</w:t>
      </w:r>
    </w:p>
    <w:p>
      <w:pPr>
        <w:spacing w:after="40" w:line="220"/>
        <w:ind w:left="260" w:hanging="260"/>
        <w:jc w:val="both"/>
      </w:pPr>
      <w:r>
        <w:rPr>
          <w:rFonts w:ascii="Times New Roman" w:cs="Times New Roman" w:eastAsia="Times New Roman" w:hAnsi="Times New Roman"/>
          <w:sz w:val="18"/>
          <w:szCs w:val="18"/>
        </w:rPr>
        <w:t xml:space="preserve">[4] S. R. Chidamber and C. F. Kemerer, “A metrics suite for object-oriented design,” IEEE Trans. Softw. Eng., vol. 20, no. 6, pp. 476–493, Jun. 1994.</w:t>
      </w:r>
    </w:p>
    <w:p>
      <w:pPr>
        <w:spacing w:after="40" w:line="220"/>
        <w:ind w:left="260" w:hanging="260"/>
        <w:jc w:val="both"/>
      </w:pPr>
      <w:r>
        <w:rPr>
          <w:rFonts w:ascii="Times New Roman" w:cs="Times New Roman" w:eastAsia="Times New Roman" w:hAnsi="Times New Roman"/>
          <w:sz w:val="18"/>
          <w:szCs w:val="18"/>
        </w:rPr>
        <w:t xml:space="preserve">[5] W. Li and S. Henry, “Object-oriented metrics that predict maintainability,” J. Syst. Softw., vol. 23, no. 2, pp. 111–122, 1993.</w:t>
      </w:r>
    </w:p>
    <w:p>
      <w:pPr>
        <w:spacing w:after="40" w:line="220"/>
        <w:ind w:left="260" w:hanging="260"/>
        <w:jc w:val="both"/>
      </w:pPr>
      <w:r>
        <w:rPr>
          <w:rFonts w:ascii="Times New Roman" w:cs="Times New Roman" w:eastAsia="Times New Roman" w:hAnsi="Times New Roman"/>
          <w:sz w:val="18"/>
          <w:szCs w:val="18"/>
        </w:rPr>
        <w:t xml:space="preserve">[6] V. R. Basili, L. C. Briand, and W. L. Melo, “A validation of object-oriented design metrics as quality indicators,” IEEE Trans. Softw. Eng., vol. 22, no. 10, pp. 751–761, Oct. 1996.</w:t>
      </w:r>
    </w:p>
    <w:p>
      <w:pPr>
        <w:spacing w:after="40" w:line="220"/>
        <w:ind w:left="260" w:hanging="260"/>
        <w:jc w:val="both"/>
      </w:pPr>
      <w:r>
        <w:rPr>
          <w:rFonts w:ascii="Times New Roman" w:cs="Times New Roman" w:eastAsia="Times New Roman" w:hAnsi="Times New Roman"/>
          <w:sz w:val="18"/>
          <w:szCs w:val="18"/>
        </w:rPr>
        <w:t xml:space="preserve">[7] M.-H. Tang, M.-H. Kao, and M.-H. Chen, “An empirical study on object-oriented metrics,” in Proc. 6th Int. Softw. Metrics Symp. (METRICS), 1999, pp. 242–249.</w:t>
      </w:r>
    </w:p>
    <w:p>
      <w:pPr>
        <w:spacing w:after="40" w:line="220"/>
        <w:ind w:left="260" w:hanging="260"/>
        <w:jc w:val="both"/>
      </w:pPr>
      <w:r>
        <w:rPr>
          <w:rFonts w:ascii="Times New Roman" w:cs="Times New Roman" w:eastAsia="Times New Roman" w:hAnsi="Times New Roman"/>
          <w:sz w:val="18"/>
          <w:szCs w:val="18"/>
        </w:rPr>
        <w:t xml:space="preserve">[8] T. J. McCabe, “A complexity measure,” IEEE Trans. Softw. Eng., vol. SE-2, no. 4, pp. 308–320, Dec. 1976.</w:t>
      </w:r>
    </w:p>
    <w:p>
      <w:pPr>
        <w:spacing w:after="40" w:line="220"/>
        <w:ind w:left="260" w:hanging="260"/>
        <w:jc w:val="both"/>
      </w:pPr>
      <w:r>
        <w:rPr>
          <w:rFonts w:ascii="Times New Roman" w:cs="Times New Roman" w:eastAsia="Times New Roman" w:hAnsi="Times New Roman"/>
          <w:sz w:val="18"/>
          <w:szCs w:val="18"/>
        </w:rPr>
        <w:t xml:space="preserve">[9] B. Henderson-Sellers, Object-Oriented Metrics: Measures of Complexity. Upper Saddle River, NJ, USA: Prentice Hall, 1996.</w:t>
      </w:r>
    </w:p>
    <w:p>
      <w:pPr>
        <w:spacing w:after="40" w:line="220"/>
        <w:ind w:left="260" w:hanging="260"/>
        <w:jc w:val="both"/>
      </w:pPr>
      <w:r>
        <w:rPr>
          <w:rFonts w:ascii="Times New Roman" w:cs="Times New Roman" w:eastAsia="Times New Roman" w:hAnsi="Times New Roman"/>
          <w:sz w:val="18"/>
          <w:szCs w:val="18"/>
        </w:rPr>
        <w:t xml:space="preserve">[10] R. G. Dromey, “A model for software product quality,” IEEE Trans. Softw. Eng., vol. 21, no. 2, pp. 146–162, Feb. 1995.</w:t>
      </w:r>
    </w:p>
    <w:p>
      <w:pPr>
        <w:spacing w:after="40" w:line="220"/>
        <w:ind w:left="260" w:hanging="260"/>
        <w:jc w:val="both"/>
      </w:pPr>
      <w:r>
        <w:rPr>
          <w:rFonts w:ascii="Times New Roman" w:cs="Times New Roman" w:eastAsia="Times New Roman" w:hAnsi="Times New Roman"/>
          <w:sz w:val="18"/>
          <w:szCs w:val="18"/>
        </w:rPr>
        <w:t xml:space="preserve">[11] J. Bansiya and C. G. Davis, “A hierarchical model for object-oriented design quality assessment,” IEEE Trans. Softw. Eng., vol. 28, no. 1, pp. 4–17, Jan. 2002.</w:t>
      </w:r>
    </w:p>
    <w:p>
      <w:pPr>
        <w:spacing w:after="40" w:line="220"/>
        <w:ind w:left="260" w:hanging="260"/>
        <w:jc w:val="both"/>
      </w:pPr>
      <w:r>
        <w:rPr>
          <w:rFonts w:ascii="Times New Roman" w:cs="Times New Roman" w:eastAsia="Times New Roman" w:hAnsi="Times New Roman"/>
          <w:sz w:val="18"/>
          <w:szCs w:val="18"/>
        </w:rPr>
        <w:t xml:space="preserve">[12] W. Cunningham, “The WyCash portfolio management system,” in Addendum Proc. OOPSLA, 1992, pp. 29–30.</w:t>
      </w:r>
    </w:p>
    <w:p>
      <w:pPr>
        <w:spacing w:after="40" w:line="220"/>
        <w:ind w:left="260" w:hanging="260"/>
        <w:jc w:val="both"/>
      </w:pPr>
      <w:r>
        <w:rPr>
          <w:rFonts w:ascii="Times New Roman" w:cs="Times New Roman" w:eastAsia="Times New Roman" w:hAnsi="Times New Roman"/>
          <w:sz w:val="18"/>
          <w:szCs w:val="18"/>
        </w:rPr>
        <w:t xml:space="preserve">[13] P. Kruchten, R. L. Nord, and I. Ozkaya, “Technical debt: From metaphor to theory and practice,” IEEE Softw., vol. 29, no. 6, pp. 18–21, Nov./Dec. 2012.</w:t>
      </w:r>
    </w:p>
    <w:p>
      <w:pPr>
        <w:spacing w:after="40" w:line="220"/>
        <w:ind w:left="260" w:hanging="260"/>
        <w:jc w:val="both"/>
      </w:pPr>
      <w:r>
        <w:rPr>
          <w:rFonts w:ascii="Times New Roman" w:cs="Times New Roman" w:eastAsia="Times New Roman" w:hAnsi="Times New Roman"/>
          <w:sz w:val="18"/>
          <w:szCs w:val="18"/>
        </w:rPr>
        <w:t xml:space="preserve">[14] Z. Li, P. Avgeriou, and P. Liang, “A systematic mapping study on technical debt and its management,” J. Syst. Softw., vol. 101, pp. 193–220, 2015.</w:t>
      </w:r>
    </w:p>
    <w:p>
      <w:pPr>
        <w:spacing w:after="40" w:line="220"/>
        <w:ind w:left="260" w:hanging="260"/>
        <w:jc w:val="both"/>
      </w:pPr>
      <w:r>
        <w:rPr>
          <w:rFonts w:ascii="Times New Roman" w:cs="Times New Roman" w:eastAsia="Times New Roman" w:hAnsi="Times New Roman"/>
          <w:sz w:val="18"/>
          <w:szCs w:val="18"/>
        </w:rPr>
        <w:t xml:space="preserve">[15] P. Avgeriou et al., “An overview and comparison of technical debt measurement tools,” IEEE Softw., vol. 38, no. 3, pp. 61–71, May/Jun. 2021.</w:t>
      </w:r>
    </w:p>
    <w:p>
      <w:pPr>
        <w:spacing w:after="40" w:line="220"/>
        <w:ind w:left="260" w:hanging="260"/>
        <w:jc w:val="both"/>
      </w:pPr>
      <w:r>
        <w:rPr>
          <w:rFonts w:ascii="Times New Roman" w:cs="Times New Roman" w:eastAsia="Times New Roman" w:hAnsi="Times New Roman"/>
          <w:sz w:val="18"/>
          <w:szCs w:val="18"/>
        </w:rPr>
        <w:t xml:space="preserve">[16] M. Aniche, Java Code Metrics Calculator (CK), 2015. [Çevrimiçi]. Erişim: https://github.com/mauricioaniche/ck/</w:t>
      </w:r>
    </w:p>
    <w:p>
      <w:pPr>
        <w:spacing w:after="40" w:line="220"/>
        <w:ind w:left="260" w:hanging="260"/>
        <w:jc w:val="both"/>
      </w:pPr>
      <w:r>
        <w:rPr>
          <w:rFonts w:ascii="Times New Roman" w:cs="Times New Roman" w:eastAsia="Times New Roman" w:hAnsi="Times New Roman"/>
          <w:sz w:val="18"/>
          <w:szCs w:val="18"/>
        </w:rPr>
        <w:t xml:space="preserve">[17] J. Hedley, jsoup: Java HTML Parser. [Çevrimiçi]. Erişim: https://jsoup.org/</w:t>
      </w:r>
    </w:p>
    <w:sectPr>
      <w:type w:val="continuous"/>
      <w:pgSz w:w="12240" w:h="15840"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74c9809ec70344e91588d8cdef6ea619149d38.png"/><Relationship Id="rId8" Type="http://schemas.openxmlformats.org/officeDocument/2006/relationships/image" Target="media/6c947e7c54cc526a55e19ce10f5feb4d6140ba38.png"/><Relationship Id="rId9" Type="http://schemas.openxmlformats.org/officeDocument/2006/relationships/image" Target="media/cc678af2626ecaf09ec95f0811c06d4d63cd73d0.png"/><Relationship Id="rId10" Type="http://schemas.openxmlformats.org/officeDocument/2006/relationships/image" Target="media/dd48e3d02e4db0a09cc7e0bae99535dcaea262a0.png"/><Relationship Id="rId11" Type="http://schemas.openxmlformats.org/officeDocument/2006/relationships/image" Target="media/a2bb3d06ba9b359bd8b37bd2285a9149d60d783d.png"/><Relationship Id="rId12" Type="http://schemas.openxmlformats.org/officeDocument/2006/relationships/image" Target="media/749ba1e4efaa91b84e125dabeb8c1546837bd02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2026-06-18T10:48:48.007Z</dcterms:created>
  <dcterms:modified xsi:type="dcterms:W3CDTF">2026-06-18T10:48:48.023Z</dcterms:modified>
</cp:coreProperties>
</file>

<file path=docProps/custom.xml><?xml version="1.0" encoding="utf-8"?>
<Properties xmlns="http://schemas.openxmlformats.org/officeDocument/2006/custom-properties" xmlns:vt="http://schemas.openxmlformats.org/officeDocument/2006/docPropsVTypes"/>
</file>