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i w:val="0"/>
          <w:color w:val="145C52"/>
          <w:sz w:val="18"/>
        </w:rPr>
        <w:t>TRITA JOGI DOKUMENTUM</w:t>
      </w:r>
    </w:p>
    <w:p>
      <w:pPr>
        <w:spacing w:before="0" w:after="80"/>
      </w:pPr>
      <w:r>
        <w:rPr>
          <w:rFonts w:ascii="Calibri" w:hAnsi="Calibri"/>
          <w:b/>
          <w:i w:val="0"/>
          <w:color w:val="103E38"/>
          <w:sz w:val="44"/>
        </w:rPr>
        <w:t>Adatfeldolgozási Megállapodás</w:t>
      </w:r>
    </w:p>
    <w:p>
      <w:pPr>
        <w:spacing w:after="240"/>
      </w:pPr>
      <w:r>
        <w:rPr>
          <w:rFonts w:ascii="Calibri" w:hAnsi="Calibri"/>
          <w:b w:val="0"/>
          <w:i w:val="0"/>
          <w:color w:val="5E6B68"/>
          <w:sz w:val="23"/>
        </w:rPr>
        <w:t>GDPR 28. cikk szerinti melléklet szervezeti Trita-szolgáltatásokhoz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3E38"/>
                <w:sz w:val="18"/>
              </w:rPr>
              <w:t>Dokumentumstátusz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8"/>
              </w:rPr>
              <w:t>ÜGYVÉDI REVIEW-DRAFT — nem jóváhagyott végleges szöveg</w:t>
            </w:r>
          </w:p>
        </w:tc>
        <w:trPr>
          <w:tblHeader/>
        </w:trPr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3E38"/>
                <w:sz w:val="18"/>
              </w:rPr>
              <w:t>Szolgáltató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8"/>
              </w:rPr>
              <w:t>OKNILIK Kft. · 7632 Pécs, Tüskésréti út 5. · Cg. 02-09-086218 · Adószám 27455764-2-02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3E38"/>
                <w:sz w:val="18"/>
              </w:rPr>
              <w:t>Verzió / hatály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8"/>
              </w:rPr>
              <w:t>DPA-2026-08-RD1 · tervezett hatálybalépés: [DÖNTENDŐ]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3E38"/>
                <w:sz w:val="18"/>
              </w:rPr>
              <w:t>Kapcsolat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8"/>
              </w:rPr>
              <w:t>hello@trita.io · https://trita.io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8A6200"/>
          <w:left w:val="single" w:sz="8" w:color="8A6200"/>
          <w:bottom w:val="single" w:sz="8" w:color="8A6200"/>
          <w:right w:val="single" w:sz="8" w:color="8A6200"/>
          <w:insideH w:val="single" w:sz="8" w:color="8A6200"/>
          <w:insideV w:val="single" w:sz="8" w:color="8A62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D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200"/>
                <w:sz w:val="19"/>
              </w:rPr>
              <w:t>Szerepek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9"/>
              </w:rPr>
              <w:t>A Megrendelő a szervezeti mérés céljáról és eszközeiről döntő adatkezelő; az OKNILIK Kft. az utasításai szerint eljáró adatfeldolgozó. A szolgáltató saját számlázási, szerződéses, biztonsági és jogi megfelelési adatai e DPA-n kívüli önálló adatkezelés alá eshetnek.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1. Felek és beépülés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1.1. </w:t>
      </w:r>
      <w:r>
        <w:rPr>
          <w:rFonts w:ascii="Calibri" w:hAnsi="Calibri"/>
          <w:b w:val="0"/>
          <w:i w:val="0"/>
          <w:color w:val="17211F"/>
          <w:sz w:val="21"/>
        </w:rPr>
        <w:t>Adatkezelő: az alapul szolgáló Egyedi Dokumentumban azonosított Megrendelő. Adatfeldolgozó: OKNILIK Kft., 7632 Pécs, Tüskésréti út 5., Cg. 02-09-086218, hello@trita.io.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1.2. </w:t>
      </w:r>
      <w:r>
        <w:rPr>
          <w:rFonts w:ascii="Calibri" w:hAnsi="Calibri"/>
          <w:b w:val="0"/>
          <w:i w:val="0"/>
          <w:color w:val="17211F"/>
          <w:sz w:val="21"/>
        </w:rPr>
        <w:t>E Megállapodás az alapul szolgáló B2B szerződés elválaszthatatlan része, és a GDPR 28. cikk (3) bekezdése szerinti adatfeldolgozási feltételeket rögzíti. Személyesadat-kezelési tárgyban eltérés esetén e DPA elsőbbséget élvez.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1.3. </w:t>
      </w:r>
      <w:r>
        <w:rPr>
          <w:rFonts w:ascii="Calibri" w:hAnsi="Calibri"/>
          <w:b w:val="0"/>
          <w:i w:val="0"/>
          <w:color w:val="17211F"/>
          <w:sz w:val="21"/>
        </w:rPr>
        <w:t>Ha a Megrendelő több adatkezelő nevében jár el, biztosítja a szükséges felhatalmazást és egyetlen kapcsolattartót jelöl ki. A DPA nem teszi az Adatfeldolgozót a Megrendelő munkajogi vagy egyéb adatkezelési döntéseinek meghatározójává.</w:t>
      </w:r>
    </w:p>
    <w:p>
      <w:pPr>
        <w:pStyle w:val="Heading1"/>
      </w:pPr>
      <w:r>
        <w:t>2. Tárgy, időtartam, jelleg és cél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Leírás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Tárgy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Szervezeti felmérési kampányok, résztvevői hozzáférés, mérési adatok tárolása és pontozása, aggregálás, riportkészítés, workshop- és támogatási folyamat.</w:t>
            </w:r>
          </w:p>
        </w:tc>
      </w:tr>
      <w:tr>
        <w:trPr>
          <w:cantSplit/>
        </w:trPr>
        <w:tc>
          <w:tcPr>
            <w:tcW w:type="dxa" w:w="22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Időtartam</w:t>
            </w:r>
          </w:p>
        </w:tc>
        <w:tc>
          <w:tcPr>
            <w:tcW w:type="dxa" w:w="71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Az alapul szolgáló szerződés teljes időtartama, majd a 13. pont szerinti visszaadási/törlési időszak.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Jelleg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Gyűjtés, rögzítés, rendszerezés, tárolás, lekérdezés, pontozás, összesítés, megjelenítés, export, korlátozás, törlés.</w:t>
            </w:r>
          </w:p>
        </w:tc>
      </w:tr>
      <w:tr>
        <w:trPr>
          <w:cantSplit/>
        </w:trPr>
        <w:tc>
          <w:tcPr>
            <w:tcW w:type="dxa" w:w="22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Cél</w:t>
            </w:r>
          </w:p>
        </w:tc>
        <w:tc>
          <w:tcPr>
            <w:tcW w:type="dxa" w:w="71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Csapatfejlesztési és szervezeti mérési program végrehajtása az Adatkezelő dokumentált céljai szerint.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Terület</w:t>
            </w:r>
          </w:p>
        </w:tc>
        <w:tc>
          <w:tcPr>
            <w:tcW w:type="dxa" w:w="71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Elsődleges adatbázis-tárolás az Európai Unióban; egyes technikai szolgáltatóknál EGT-n kívüli hozzáférés/továbbítás a 10. pont szerint.</w:t>
            </w:r>
          </w:p>
        </w:tc>
      </w:tr>
    </w:tbl>
    <w:p>
      <w:pPr>
        <w:pStyle w:val="Heading1"/>
      </w:pPr>
      <w:r>
        <w:t>3. Adatkezelő utasításai és felelőssége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3.1. </w:t>
      </w:r>
      <w:r>
        <w:rPr>
          <w:rFonts w:ascii="Calibri" w:hAnsi="Calibri"/>
          <w:b w:val="0"/>
          <w:i w:val="0"/>
          <w:color w:val="17211F"/>
          <w:sz w:val="21"/>
        </w:rPr>
        <w:t>Az Adatfeldolgozó kizárólag az Adatkezelő dokumentált utasításai alapján kezel személyes adatot, beleértve az EGT-n kívüli továbbítást is, kivéve az Adatfeldolgozóra kötelező uniós vagy tagállami jogot. Ilyen jogi kötelezettségről — ha a jog nem tiltja — az adatkezelés előtt tájékoztat.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3.2. </w:t>
      </w:r>
      <w:r>
        <w:rPr>
          <w:rFonts w:ascii="Calibri" w:hAnsi="Calibri"/>
          <w:b w:val="0"/>
          <w:i w:val="0"/>
          <w:color w:val="17211F"/>
          <w:sz w:val="21"/>
        </w:rPr>
        <w:t>Dokumentált utasításnak minősül az alapul szolgáló szerződés, e DPA, az Egyedi Dokumentum, a jóváhagyott kampánykonfiguráció és az arra jogosult kapcsolattartó írásbeli kérése.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3.3. </w:t>
      </w:r>
      <w:r>
        <w:rPr>
          <w:rFonts w:ascii="Calibri" w:hAnsi="Calibri"/>
          <w:b w:val="0"/>
          <w:i w:val="0"/>
          <w:color w:val="17211F"/>
          <w:sz w:val="21"/>
        </w:rPr>
        <w:t>Ha az Adatfeldolgozó megítélése szerint egy utasítás sérti a GDPR-t vagy más uniós/tagállami adatvédelmi szabályt, haladéktalanul tájékoztat és a vitatott műveletet — a sürgős védelmi intézkedés kivételével — felfüggesztheti.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3.4. </w:t>
      </w:r>
      <w:r>
        <w:rPr>
          <w:rFonts w:ascii="Calibri" w:hAnsi="Calibri"/>
          <w:b w:val="0"/>
          <w:i w:val="0"/>
          <w:color w:val="17211F"/>
          <w:sz w:val="21"/>
        </w:rPr>
        <w:t>Az Adatkezelő felel az adatkezelés jogszerűségéért, jogalapjáért, célhoz kötöttségéért, adattakarékosságáért, a résztvevői tájékoztatásért, munkajogi/érdekképviseleti követelményekért, a névsor pontosságáért és a hozzáférési jogosultságokért.</w:t>
      </w:r>
    </w:p>
    <w:p>
      <w:pPr>
        <w:pStyle w:val="Heading1"/>
      </w:pPr>
      <w:r>
        <w:t>4. Titoktartás és személyi hozzáférés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4.1. </w:t>
      </w:r>
      <w:r>
        <w:rPr>
          <w:rFonts w:ascii="Calibri" w:hAnsi="Calibri"/>
          <w:b w:val="0"/>
          <w:i w:val="0"/>
          <w:color w:val="17211F"/>
          <w:sz w:val="21"/>
        </w:rPr>
        <w:t>Az Adatfeldolgozó biztosítja, hogy a személyes adathoz hozzáférő személyek megfelelő titoktartási kötelezettség alatt álljanak vagy jogszabályi titoktartás kötelezze őket, és csak feladatukhoz szükséges mértékben férjenek hozzá.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4.2. </w:t>
      </w:r>
      <w:r>
        <w:rPr>
          <w:rFonts w:ascii="Calibri" w:hAnsi="Calibri"/>
          <w:b w:val="0"/>
          <w:i w:val="0"/>
          <w:color w:val="17211F"/>
          <w:sz w:val="21"/>
        </w:rPr>
        <w:t>Az Adatfeldolgozó szerepkör-alapú hozzáférést, adminisztrátori korlátozást és rendszeres jogosultság-felülvizsgálatot alkalmaz. A tanácsadó kizárólag a hozzárendelt szervezet/csapat szükséges adataihoz férhet hozzá.</w:t>
      </w:r>
    </w:p>
    <w:p>
      <w:pPr>
        <w:pStyle w:val="Heading1"/>
      </w:pPr>
      <w:r>
        <w:t>5. Adatbiztonság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5.1. </w:t>
      </w:r>
      <w:r>
        <w:rPr>
          <w:rFonts w:ascii="Calibri" w:hAnsi="Calibri"/>
          <w:b w:val="0"/>
          <w:i w:val="0"/>
          <w:color w:val="17211F"/>
          <w:sz w:val="21"/>
        </w:rPr>
        <w:t>Az Adatfeldolgozó a kockázattal arányos technikai és szervezési intézkedéseket alkalmaz a GDPR 32. cikke szerint. A részletes intézkedéseket a 2. melléklet tartalmazza.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5.2. </w:t>
      </w:r>
      <w:r>
        <w:rPr>
          <w:rFonts w:ascii="Calibri" w:hAnsi="Calibri"/>
          <w:b w:val="0"/>
          <w:i w:val="0"/>
          <w:color w:val="17211F"/>
          <w:sz w:val="21"/>
        </w:rPr>
        <w:t>Az intézkedések kialakításakor figyelembe veszi a technika állását, a megvalósítás költségeit, az adatkezelés jellegét, hatókörét, körülményeit és céljait, valamint a természetes személyek jogaira jelentett kockázatot.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5.3. </w:t>
      </w:r>
      <w:r>
        <w:rPr>
          <w:rFonts w:ascii="Calibri" w:hAnsi="Calibri"/>
          <w:b w:val="0"/>
          <w:i w:val="0"/>
          <w:color w:val="17211F"/>
          <w:sz w:val="21"/>
        </w:rPr>
        <w:t>Az Adatfeldolgozó nem garantál abszolút biztonságot, de dokumentált kockázatkezelést, változáskövetést, sérülékenység- és incidenskezelést tart fenn.</w:t>
      </w:r>
    </w:p>
    <w:p>
      <w:pPr>
        <w:pStyle w:val="Heading1"/>
      </w:pPr>
      <w:r>
        <w:t>6. Érintetti kérelmek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6.1. </w:t>
      </w:r>
      <w:r>
        <w:rPr>
          <w:rFonts w:ascii="Calibri" w:hAnsi="Calibri"/>
          <w:b w:val="0"/>
          <w:i w:val="0"/>
          <w:color w:val="17211F"/>
          <w:sz w:val="21"/>
        </w:rPr>
        <w:t>Az Adatfeldolgozó a kezelés jellegére tekintettel megfelelő technikai és szervezési intézkedésekkel segíti az Adatkezelőt a GDPR III. fejezete szerinti kérelmek megválaszolásában.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6.2. </w:t>
      </w:r>
      <w:r>
        <w:rPr>
          <w:rFonts w:ascii="Calibri" w:hAnsi="Calibri"/>
          <w:b w:val="0"/>
          <w:i w:val="0"/>
          <w:color w:val="17211F"/>
          <w:sz w:val="21"/>
        </w:rPr>
        <w:t>Ha érintett közvetlenül az Adatfeldolgozóhoz fordul szervezeti adattal kapcsolatban, az Adatfeldolgozó a kérelmet indokolatlan késedelem nélkül továbbítja az Adatkezelő kapcsolattartójának, és önállóan nem válaszol, kivéve, ha erre az Adatkezelő felhatalmazza vagy jogszabály kötelezi.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6.3. </w:t>
      </w:r>
      <w:r>
        <w:rPr>
          <w:rFonts w:ascii="Calibri" w:hAnsi="Calibri"/>
          <w:b w:val="0"/>
          <w:i w:val="0"/>
          <w:color w:val="17211F"/>
          <w:sz w:val="21"/>
        </w:rPr>
        <w:t>Az alapfunkciókhoz tartozó keresés, export, helyesbítés vagy törlés támogatása a szolgáltatás része. Rendkívüli, aránytalan fejlesztést vagy manuális munkát igénylő segítség észszerű díjazású change request lehet, ha ez nem csorbít kötelező jogot.</w:t>
      </w:r>
    </w:p>
    <w:p>
      <w:pPr>
        <w:pStyle w:val="Heading1"/>
      </w:pPr>
      <w:r>
        <w:t>7. Incidenskezelés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7.1. </w:t>
      </w:r>
      <w:r>
        <w:rPr>
          <w:rFonts w:ascii="Calibri" w:hAnsi="Calibri"/>
          <w:b w:val="0"/>
          <w:i w:val="0"/>
          <w:color w:val="17211F"/>
          <w:sz w:val="21"/>
        </w:rPr>
        <w:t>Az Adatfeldolgozó a személyes adatok megsértését jelentő adatvédelmi incidensről az Adatkezelőt indokolatlan késedelem nélkül, célként az észleléstől számított 24 órán belül értesíti. [DÖNTENDŐ: kötelező 24 órás maximum vagy „indokolatlan késedelem nélkül, de lehetőség szerint 24 órán belül”.]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7.2. </w:t>
      </w:r>
      <w:r>
        <w:rPr>
          <w:rFonts w:ascii="Calibri" w:hAnsi="Calibri"/>
          <w:b w:val="0"/>
          <w:i w:val="0"/>
          <w:color w:val="17211F"/>
          <w:sz w:val="21"/>
        </w:rPr>
        <w:t>Az értesítés — amennyiben ismert — tartalmazza az incidens jellegét, az érintetti és adatrekord-kategóriákat és becsült számot, a várható következményeket, a megtett vagy tervezett intézkedéseket és a kapcsolattartót. Az információ részletekben is megadható.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7.3. </w:t>
      </w:r>
      <w:r>
        <w:rPr>
          <w:rFonts w:ascii="Calibri" w:hAnsi="Calibri"/>
          <w:b w:val="0"/>
          <w:i w:val="0"/>
          <w:color w:val="17211F"/>
          <w:sz w:val="21"/>
        </w:rPr>
        <w:t>Az Adatfeldolgozó együttműködik a kivizsgálásban, megőrzi a releváns bizonyítékot, dokumentálja az incidenst és támogatja az Adatkezelő hatósági/érintetti kötelezettségeit. Hatóságnak az Adatkezelő nevében csak kifejezett utasításra tesz bejelentést.</w:t>
      </w:r>
    </w:p>
    <w:p>
      <w:pPr>
        <w:pStyle w:val="Heading1"/>
      </w:pPr>
      <w:r>
        <w:t>8. DPIA, előzetes konzultáció és megfelelési segítség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8.1. </w:t>
      </w:r>
      <w:r>
        <w:rPr>
          <w:rFonts w:ascii="Calibri" w:hAnsi="Calibri"/>
          <w:b w:val="0"/>
          <w:i w:val="0"/>
          <w:color w:val="17211F"/>
          <w:sz w:val="21"/>
        </w:rPr>
        <w:t>Az Adatfeldolgozó a rendelkezésére álló információval és a kezelés jellegére tekintettel segíti az Adatkezelőt a GDPR 32–36. cikke szerinti kötelezettségekben, különösen kockázatértékelés, adatvédelmi hatásvizsgálat és előzetes konzultáció során.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8.2. </w:t>
      </w:r>
      <w:r>
        <w:rPr>
          <w:rFonts w:ascii="Calibri" w:hAnsi="Calibri"/>
          <w:b w:val="0"/>
          <w:i w:val="0"/>
          <w:color w:val="17211F"/>
          <w:sz w:val="21"/>
        </w:rPr>
        <w:t>A Megrendelő mérlegeli a DPIA szükségességét, különösen munkavállalók szisztematikus értékelése, nagy lépték, új technológia, sérülékeny helyzet vagy jelentős döntési használat esetén. A Szolgáltató nem minősíti automatikusan jogszerűnek a Megrendelő célját.</w:t>
      </w:r>
    </w:p>
    <w:p>
      <w:pPr>
        <w:pStyle w:val="Heading1"/>
      </w:pPr>
      <w:r>
        <w:t>9. További adatfeldolgozók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9.1. </w:t>
      </w:r>
      <w:r>
        <w:rPr>
          <w:rFonts w:ascii="Calibri" w:hAnsi="Calibri"/>
          <w:b w:val="0"/>
          <w:i w:val="0"/>
          <w:color w:val="17211F"/>
          <w:sz w:val="21"/>
        </w:rPr>
        <w:t>Az Adatkezelő általános írásbeli felhatalmazást ad a 3. mellékletben felsorolt további adatfeldolgozók igénybevételére. Az Adatfeldolgozó új vagy cserélt további adatfeldolgozóról legalább [DÖNTENDŐ: 15/30] nappal előre e-mailben vagy adminfelületen tájékoztat.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9.2. </w:t>
      </w:r>
      <w:r>
        <w:rPr>
          <w:rFonts w:ascii="Calibri" w:hAnsi="Calibri"/>
          <w:b w:val="0"/>
          <w:i w:val="0"/>
          <w:color w:val="17211F"/>
          <w:sz w:val="21"/>
        </w:rPr>
        <w:t>Az Adatkezelő adatvédelmi szempontból megalapozott kifogást emelhet az értesítési időn belül. A felek jóhiszeműen alternatívát keresnek; ha nincs észszerű megoldás, az érintett szolgáltatás megszüntethető a még nem teljesített rész arányos elszámolásával.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9.3. </w:t>
      </w:r>
      <w:r>
        <w:rPr>
          <w:rFonts w:ascii="Calibri" w:hAnsi="Calibri"/>
          <w:b w:val="0"/>
          <w:i w:val="0"/>
          <w:color w:val="17211F"/>
          <w:sz w:val="21"/>
        </w:rPr>
        <w:t>Az Adatfeldolgozó a további adatfeldolgozóra lényegében azonos adatvédelmi kötelezettségeket ír elő, megfelelő garanciákat követel, és a további adatfeldolgozó kötelezettségeiért a GDPR szerint felel.</w:t>
      </w:r>
    </w:p>
    <w:p>
      <w:pPr>
        <w:pStyle w:val="Heading1"/>
      </w:pPr>
      <w:r>
        <w:t>10. Nemzetközi adattovábbítás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10.1. </w:t>
      </w:r>
      <w:r>
        <w:rPr>
          <w:rFonts w:ascii="Calibri" w:hAnsi="Calibri"/>
          <w:b w:val="0"/>
          <w:i w:val="0"/>
          <w:color w:val="17211F"/>
          <w:sz w:val="21"/>
        </w:rPr>
        <w:t>Az EGT-n kívüli továbbítás csak a GDPR V. fejezete szerinti jogalappal történhet, például megfelelőségi határozat, az Európai Bizottság általános szerződési feltételei (SCC) és szükség szerinti kiegészítő intézkedések alapján.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10.2. </w:t>
      </w:r>
      <w:r>
        <w:rPr>
          <w:rFonts w:ascii="Calibri" w:hAnsi="Calibri"/>
          <w:b w:val="0"/>
          <w:i w:val="0"/>
          <w:color w:val="17211F"/>
          <w:sz w:val="21"/>
        </w:rPr>
        <w:t>Az Adatfeldolgozó dokumentálja az alkalmazott transzfermechanizmust, és az Adatkezelő észszerű kérésére megadja a lényeges információt. Megfelelőségi határozat elvesztése vagy lényeges jogi változás esetén alternatív garanciát vezet be vagy felfüggeszti az érintett továbbítást.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10.3. </w:t>
      </w:r>
      <w:r>
        <w:rPr>
          <w:rFonts w:ascii="Calibri" w:hAnsi="Calibri"/>
          <w:b w:val="0"/>
          <w:i w:val="0"/>
          <w:color w:val="17211F"/>
          <w:sz w:val="21"/>
        </w:rPr>
        <w:t>E DPA önmagában nem az (EU) 2021/914 szerinti harmadik országbeli adattovábbítási SCC. Ha az szükséges, a felek vagy a szolgáltatói lánc megfelelő modulját külön alkalmazzák.</w:t>
      </w:r>
    </w:p>
    <w:p>
      <w:pPr>
        <w:pStyle w:val="Heading1"/>
      </w:pPr>
      <w:r>
        <w:t>11. Ellenőrzés és audit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11.1. </w:t>
      </w:r>
      <w:r>
        <w:rPr>
          <w:rFonts w:ascii="Calibri" w:hAnsi="Calibri"/>
          <w:b w:val="0"/>
          <w:i w:val="0"/>
          <w:color w:val="17211F"/>
          <w:sz w:val="21"/>
        </w:rPr>
        <w:t>Az Adatfeldolgozó az Adatkezelő rendelkezésére bocsátja a GDPR 28. cikk teljesítésének igazolásához szükséges információt, és lehetővé teszi az auditot, ideértve az ellenőrzést is.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11.2. </w:t>
      </w:r>
      <w:r>
        <w:rPr>
          <w:rFonts w:ascii="Calibri" w:hAnsi="Calibri"/>
          <w:b w:val="0"/>
          <w:i w:val="0"/>
          <w:color w:val="17211F"/>
          <w:sz w:val="21"/>
        </w:rPr>
        <w:t>Elsődlegesen naprakész dokumentáció, biztonsági összefoglaló, független tanúsítás vagy szolgáltatói auditjelentés használható. Helyszíni audit évente legfeljebb egyszer, legalább 15 munkanapos előzetes értesítéssel, munkaidőben és a többi ügyfél adatainak védelmével végezhető, kivéve incidens vagy hatósági utasítás esetén.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11.3. </w:t>
      </w:r>
      <w:r>
        <w:rPr>
          <w:rFonts w:ascii="Calibri" w:hAnsi="Calibri"/>
          <w:b w:val="0"/>
          <w:i w:val="0"/>
          <w:color w:val="17211F"/>
          <w:sz w:val="21"/>
        </w:rPr>
        <w:t>Az Adatkezelő viseli a rendkívüli audit észszerű költségét, kivéve, ha az lényeges meg nem felelést tár fel. Az auditor titoktartási kötelezettséget vállal és nem lehet közvetlen versenytárs.</w:t>
      </w:r>
    </w:p>
    <w:p>
      <w:pPr>
        <w:pStyle w:val="Heading1"/>
      </w:pPr>
      <w:r>
        <w:t>12. Hatósági megkeresések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12.1. </w:t>
      </w:r>
      <w:r>
        <w:rPr>
          <w:rFonts w:ascii="Calibri" w:hAnsi="Calibri"/>
          <w:b w:val="0"/>
          <w:i w:val="0"/>
          <w:color w:val="17211F"/>
          <w:sz w:val="21"/>
        </w:rPr>
        <w:t>Az Adatfeldolgozó — ha jogszerű — értesíti az Adatkezelőt a személyes adatra vonatkozó kötelező hatósági vagy bírósági megkeresésről. Csak a kötelező minimumot adja át, és dokumentálja a közlést.</w:t>
      </w:r>
    </w:p>
    <w:p>
      <w:pPr>
        <w:pStyle w:val="Heading1"/>
      </w:pPr>
      <w:r>
        <w:t>13. Adatok visszaadása és törlése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13.1. </w:t>
      </w:r>
      <w:r>
        <w:rPr>
          <w:rFonts w:ascii="Calibri" w:hAnsi="Calibri"/>
          <w:b w:val="0"/>
          <w:i w:val="0"/>
          <w:color w:val="17211F"/>
          <w:sz w:val="21"/>
        </w:rPr>
        <w:t>Az alapul szolgáló szolgáltatás megszűnésekor az Adatkezelő választása szerint az Adatfeldolgozó a személyes adatot visszaadja vagy törli, és a másolatokat törli, kivéve, ha uniós vagy tagállami jog megőrzést ír elő.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13.2. </w:t>
      </w:r>
      <w:r>
        <w:rPr>
          <w:rFonts w:ascii="Calibri" w:hAnsi="Calibri"/>
          <w:b w:val="0"/>
          <w:i w:val="0"/>
          <w:color w:val="17211F"/>
          <w:sz w:val="21"/>
        </w:rPr>
        <w:t>A választást az Adatkezelő a megszűnéstől számított 30 napon belül közli. Ennek hiányában az Adatfeldolgozó az adatokat legkésőbb a megszűnéstől számított 90 napon belül törli. A biztonsági mentésekből a rendes rotáció szerint, legfeljebb további 30 napon belül kerülnek ki. [ÖSSZEHANGOLANDÓ a nyilvános tájékoztatóval és backup-architektúrával.]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13.3. </w:t>
      </w:r>
      <w:r>
        <w:rPr>
          <w:rFonts w:ascii="Calibri" w:hAnsi="Calibri"/>
          <w:b w:val="0"/>
          <w:i w:val="0"/>
          <w:color w:val="17211F"/>
          <w:sz w:val="21"/>
        </w:rPr>
        <w:t>A már ténylegesen anonimizált, személyhez és Megrendelőhöz ésszerűen vissza nem vezethető aggregátum nem személyes adat; kezelésére az alapul szolgáló szerződés rendelkezései irányadók.</w:t>
      </w:r>
    </w:p>
    <w:p>
      <w:pPr>
        <w:pStyle w:val="Heading1"/>
      </w:pPr>
      <w:r>
        <w:t>14. Felelősség, időtartam és záró rendelkezések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14.1. </w:t>
      </w:r>
      <w:r>
        <w:rPr>
          <w:rFonts w:ascii="Calibri" w:hAnsi="Calibri"/>
          <w:b w:val="0"/>
          <w:i w:val="0"/>
          <w:color w:val="17211F"/>
          <w:sz w:val="21"/>
        </w:rPr>
        <w:t>E DPA az alapul szolgáló szerződéssel együtt lép hatályba, és addig marad hatályban, amíg az Adatfeldolgozó személyes adatot kezel az Adatkezelő nevében.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14.2. </w:t>
      </w:r>
      <w:r>
        <w:rPr>
          <w:rFonts w:ascii="Calibri" w:hAnsi="Calibri"/>
          <w:b w:val="0"/>
          <w:i w:val="0"/>
          <w:color w:val="17211F"/>
          <w:sz w:val="21"/>
        </w:rPr>
        <w:t>A felek adatvédelmi felelősségére a GDPR és az alapul szolgáló szerződés alkalmazandó. Az alapul szolgáló felelősségkorlátozás csak annyiban érvényesül, amennyiben kötelező adatvédelmi jog azt megengedi.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14.3. </w:t>
      </w:r>
      <w:r>
        <w:rPr>
          <w:rFonts w:ascii="Calibri" w:hAnsi="Calibri"/>
          <w:b w:val="0"/>
          <w:i w:val="0"/>
          <w:color w:val="17211F"/>
          <w:sz w:val="21"/>
        </w:rPr>
        <w:t>A DPA módosítása írásban történik. Az alfeldolgozói lista a 9. pont szerinti értesítési és kifogási eljárással frissíthető.</w:t>
      </w:r>
    </w:p>
    <w:p>
      <w:r>
        <w:rPr>
          <w:rFonts w:ascii="Calibri" w:hAnsi="Calibri"/>
          <w:b/>
          <w:i w:val="0"/>
          <w:color w:val="103E38"/>
          <w:sz w:val="21"/>
        </w:rPr>
        <w:t xml:space="preserve">14.4. </w:t>
      </w:r>
      <w:r>
        <w:rPr>
          <w:rFonts w:ascii="Calibri" w:hAnsi="Calibri"/>
          <w:b w:val="0"/>
          <w:i w:val="0"/>
          <w:color w:val="17211F"/>
          <w:sz w:val="21"/>
        </w:rPr>
        <w:t>Irányadó jog és joghatóság: az alapul szolgáló szerződés szerint, a felügyeleti hatóságok és érintettek kötelező jogainak sérelme nélkül.</w:t>
      </w:r>
    </w:p>
    <w:p>
      <w:pPr>
        <w:pStyle w:val="Heading1"/>
        <w:pageBreakBefore/>
      </w:pPr>
      <w:r>
        <w:t>1. melléklet — Az adatkezelés részletei</w:t>
      </w:r>
    </w:p>
    <w:p>
      <w:pPr>
        <w:pStyle w:val="Heading2"/>
      </w:pPr>
      <w:r>
        <w:t>A. Érintetti kategóriák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a Megrendelő munkavállalói, vezetői, csapattagjai és szervezeti adminisztrátorai;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a Megrendelő által meghívott observerek, peer értékelők vagy — külön scope esetén — jelöltek;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a Megrendelő kapcsolattartói és a szolgáltatás működtetésében részt vevő felhasználók.</w:t>
      </w:r>
    </w:p>
    <w:p>
      <w:pPr>
        <w:pStyle w:val="Heading2"/>
      </w:pPr>
      <w:r>
        <w:t>B. Személyesadat-kategóriák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Kategória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Példák / korlát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Azonosító és kapcsolat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Név, e-mail, felhasználói és szervezeti azonosító, meghívó- és hozzáférési állapot.</w:t>
            </w:r>
          </w:p>
        </w:tc>
      </w:tr>
      <w:tr>
        <w:trPr>
          <w:cantSplit/>
        </w:trPr>
        <w:tc>
          <w:tcPr>
            <w:tcW w:type="dxa" w:w="23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Szervezeti metaadat</w:t>
            </w:r>
          </w:p>
        </w:tc>
        <w:tc>
          <w:tcPr>
            <w:tcW w:type="dxa" w:w="70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Szervezet, csapat, szerepkör, vezetői/admin jogosultság, kampánytagság.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Felmérési adat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Self-válaszok és pontszámok; trust-kérdések válaszai és aggregátumai; observer/peer válaszok, ha megrendelt.</w:t>
            </w:r>
          </w:p>
        </w:tc>
      </w:tr>
      <w:tr>
        <w:trPr>
          <w:cantSplit/>
        </w:trPr>
        <w:tc>
          <w:tcPr>
            <w:tcW w:type="dxa" w:w="23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Anonim pulse</w:t>
            </w:r>
          </w:p>
        </w:tc>
        <w:tc>
          <w:tcPr>
            <w:tcW w:type="dxa" w:w="70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 pszichológiai biztonság válaszai user-referencia nélkül; n≥3 alatt nincs aggregátum. Újraazonosítás tilos.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Riport és akció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Aggregált mutatók, tanácsadói narratíva, adatminőségi jelzés, akció, célmutató, státusz.</w:t>
            </w:r>
          </w:p>
        </w:tc>
      </w:tr>
      <w:tr>
        <w:trPr>
          <w:cantSplit/>
        </w:trPr>
        <w:tc>
          <w:tcPr>
            <w:tcW w:type="dxa" w:w="23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Technikai adat</w:t>
            </w:r>
          </w:p>
        </w:tc>
        <w:tc>
          <w:tcPr>
            <w:tcW w:type="dxa" w:w="70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Munkamenet-, esemény-, biztonsági és hibalog; IP vagy álnévi technikai azonosító korlátozott ideig.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Különleges adat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Nem célzott és nem kérhető. Szabad szövegben történő megadását a Megrendelőnek és résztvevőnek kerülni kell.</w:t>
            </w:r>
          </w:p>
        </w:tc>
      </w:tr>
    </w:tbl>
    <w:p>
      <w:pPr>
        <w:pStyle w:val="Heading2"/>
      </w:pPr>
      <w:r>
        <w:t>C. Gyakoriság és megőrzés</w:t>
      </w:r>
    </w:p>
    <w:p>
      <w:r>
        <w:rPr>
          <w:rFonts w:ascii="Calibri" w:hAnsi="Calibri"/>
          <w:b w:val="0"/>
          <w:i w:val="0"/>
          <w:color w:val="17211F"/>
          <w:sz w:val="21"/>
        </w:rPr>
        <w:t>A kezelés a kampány és szolgáltatás használata során folyamatos vagy eseményvezérelt. A szervezeti mérési adatok az alapul szolgáló szerződés végéig, azt követően a 13. pont szerinti legfeljebb 90 napos visszaadási/törlési időszakig maradnak; az üzemeltetési naplók legfeljebb 12 hónapig, ha jogi/biztonsági ok nem indokol eltérő zárolást.</w:t>
      </w:r>
    </w:p>
    <w:p>
      <w:pPr>
        <w:pStyle w:val="Heading2"/>
      </w:pPr>
      <w:r>
        <w:t>D. Kapcsolattartók és utasítási csatorna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2100"/>
        <w:gridCol w:w="2100"/>
        <w:gridCol w:w="2600"/>
        <w:gridCol w:w="25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Szerep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Név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E-mail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Jogosultság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Adatkezelő kapcsolattartó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[DÖNTENDŐ]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[DÖNTENDŐ]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Utasítás, érintetti kérelem, incidens</w:t>
            </w:r>
          </w:p>
        </w:tc>
      </w:tr>
      <w:tr>
        <w:trPr>
          <w:cantSplit/>
        </w:trPr>
        <w:tc>
          <w:tcPr>
            <w:tcW w:type="dxa" w:w="21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Adatfeldolgozó kapcsolattartó</w:t>
            </w:r>
          </w:p>
        </w:tc>
        <w:tc>
          <w:tcPr>
            <w:tcW w:type="dxa" w:w="21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[DÖNTENDŐ: felelős személy]</w:t>
            </w:r>
          </w:p>
        </w:tc>
        <w:tc>
          <w:tcPr>
            <w:tcW w:type="dxa" w:w="26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hello@trita.io</w:t>
            </w:r>
          </w:p>
        </w:tc>
        <w:tc>
          <w:tcPr>
            <w:tcW w:type="dxa" w:w="25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DPA, biztonság, incidens</w:t>
            </w:r>
          </w:p>
        </w:tc>
      </w:tr>
    </w:tbl>
    <w:p>
      <w:pPr>
        <w:pStyle w:val="Heading1"/>
      </w:pPr>
      <w:r>
        <w:t>2. melléklet — Technikai és szervezési intézkedések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Terület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Jelenlegi kontroll / vállalás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Átvitel és tárolás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HTTPS/TLS minden hálózati kérésnél; adatbázis-szintű titkosított tárolás; EU adatbázis-régió.</w:t>
            </w:r>
          </w:p>
        </w:tc>
      </w:tr>
      <w:tr>
        <w:trPr>
          <w:cantSplit/>
        </w:trPr>
        <w:tc>
          <w:tcPr>
            <w:tcW w:type="dxa" w:w="23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Hitelesítés</w:t>
            </w:r>
          </w:p>
        </w:tc>
        <w:tc>
          <w:tcPr>
            <w:tcW w:type="dxa" w:w="70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Clerk-alapú hitelesítés; a Szolgáltató jelszót nem tárol; többtényezős azonosítás lehetősége.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Hozzáférés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Szerepkör- és szervezet-alapú jogosultság, least privilege, admin/tanácsadó korlátozás, hozzáférési felülvizsgálat.</w:t>
            </w:r>
          </w:p>
        </w:tc>
      </w:tr>
      <w:tr>
        <w:trPr>
          <w:cantSplit/>
        </w:trPr>
        <w:tc>
          <w:tcPr>
            <w:tcW w:type="dxa" w:w="23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Tenant-szeparáció</w:t>
            </w:r>
          </w:p>
        </w:tc>
        <w:tc>
          <w:tcPr>
            <w:tcW w:type="dxa" w:w="70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Szervezeti és csapatszintű hozzáférési ellenőrzések alkalmazási rétegben; jogosulatlan kereszt-hozzáférés tesztelése.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Anonimitás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Egyéni csapatválasz nem jelenik meg; n≥3 aggregációs küszöb; pulse user-azonosító nélkül; trust csak aggregált formában.</w:t>
            </w:r>
          </w:p>
        </w:tc>
      </w:tr>
      <w:tr>
        <w:trPr>
          <w:cantSplit/>
        </w:trPr>
        <w:tc>
          <w:tcPr>
            <w:tcW w:type="dxa" w:w="23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Tokenek</w:t>
            </w:r>
          </w:p>
        </w:tc>
        <w:tc>
          <w:tcPr>
            <w:tcW w:type="dxa" w:w="70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Megosztó és observer linkek egyedi, lejáró és visszavonható tokennel; tokenek és titkok környezeti konfigurációban.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Naplózás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Biztonsági és üzemeltetési események korlátozott megőrzéssel; felhasználói kérdőív-tartalom nem kerülhet hiba-riasztásba.</w:t>
            </w:r>
          </w:p>
        </w:tc>
      </w:tr>
      <w:tr>
        <w:trPr>
          <w:cantSplit/>
        </w:trPr>
        <w:tc>
          <w:tcPr>
            <w:tcW w:type="dxa" w:w="23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Mentés/törlés</w:t>
            </w:r>
          </w:p>
        </w:tc>
        <w:tc>
          <w:tcPr>
            <w:tcW w:type="dxa" w:w="70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Biztonsági mentési rotáció; fiókadat legfeljebb 30 nap alatt kikerül a mentésekből; szervezeti törlés a DPA szerint.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Fejlesztés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Kódreview, tesztelés, környezeti titokkezelés, függőségfrissítés és változáskövetés. [DÖNTENDŐ: sérülékenység-scan és pentest cadence.]</w:t>
            </w:r>
          </w:p>
        </w:tc>
      </w:tr>
      <w:tr>
        <w:trPr>
          <w:cantSplit/>
        </w:trPr>
        <w:tc>
          <w:tcPr>
            <w:tcW w:type="dxa" w:w="23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Incidens</w:t>
            </w:r>
          </w:p>
        </w:tc>
        <w:tc>
          <w:tcPr>
            <w:tcW w:type="dxa" w:w="70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Hiba-riasztás felhasználói tartalom nélkül; incidens-triázs, dokumentálás, értesítés és helyreállítási lépések.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Üzletmenet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Felhős redundancia és szolgáltatói mentés a konfiguráció szerint. [DÖNTENDŐ: RTO/RPO, restore-teszt gyakoriság.]</w:t>
            </w:r>
          </w:p>
        </w:tc>
      </w:tr>
      <w:tr>
        <w:trPr>
          <w:cantSplit/>
        </w:trPr>
        <w:tc>
          <w:tcPr>
            <w:tcW w:type="dxa" w:w="23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Személyzet</w:t>
            </w:r>
          </w:p>
        </w:tc>
        <w:tc>
          <w:tcPr>
            <w:tcW w:type="dxa" w:w="70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Titoktartás, szerepkör szerinti hozzáférés, offboarding és hozzáférés-visszavonás. [DÖNTENDŐ: formális biztonsági oktatás cadence.]</w:t>
            </w:r>
          </w:p>
        </w:tc>
      </w:tr>
    </w:tbl>
    <w:p>
      <w:pPr>
        <w:pStyle w:val="Heading1"/>
      </w:pPr>
      <w:r>
        <w:t>3. melléklet — További adatfeldolgozók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8A6200"/>
          <w:left w:val="single" w:sz="8" w:color="8A6200"/>
          <w:bottom w:val="single" w:sz="8" w:color="8A6200"/>
          <w:right w:val="single" w:sz="8" w:color="8A6200"/>
          <w:insideH w:val="single" w:sz="8" w:color="8A6200"/>
          <w:insideV w:val="single" w:sz="8" w:color="8A62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D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8A6200"/>
                <w:sz w:val="19"/>
              </w:rPr>
              <w:t>Ellenőrzési kötelezettség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9"/>
              </w:rPr>
              <w:t>Publikálás előtt minden szolgáltató pontos szerződő jogi személyét, régióját, adatfajtáját, DPA-ját, SCC/DPF státuszát és alfeldolgozói listáját az aktuális szerződésből kell igazolni. Az alábbi lista a jelenlegi kód- és adatvédelmi leírásból készült.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1500"/>
        <w:gridCol w:w="3300"/>
        <w:gridCol w:w="2560"/>
        <w:gridCol w:w="200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Szolgáltató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Cél / adatkör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Hely / transzfer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Státusz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Clerk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Hitelesítés, munkamenet; e-mail és auth azonosítók.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USA/EGT; DPF vagy SCC.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Aktív — jogi entitás ellenőrzendő</w:t>
            </w:r>
          </w:p>
        </w:tc>
      </w:tr>
      <w:tr>
        <w:trPr>
          <w:cantSplit/>
        </w:trPr>
        <w:tc>
          <w:tcPr>
            <w:tcW w:type="dxa" w:w="15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Neon</w:t>
            </w:r>
          </w:p>
        </w:tc>
        <w:tc>
          <w:tcPr>
            <w:tcW w:type="dxa" w:w="33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PostgreSQL adatbázis; felhasználói és felmérési adatok.</w:t>
            </w:r>
          </w:p>
        </w:tc>
        <w:tc>
          <w:tcPr>
            <w:tcW w:type="dxa" w:w="25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EU régió.</w:t>
            </w:r>
          </w:p>
        </w:tc>
        <w:tc>
          <w:tcPr>
            <w:tcW w:type="dxa" w:w="20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Aktív — régió rögzítendő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Vercel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Alkalmazáshosztolás, szerverfunkciók, teljesítmény-analitika.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EU/USA; DPA és SCC/DPF szerint.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Aktív — entitás és log-régió ellenőrzendő</w:t>
            </w:r>
          </w:p>
        </w:tc>
      </w:tr>
      <w:tr>
        <w:trPr>
          <w:cantSplit/>
        </w:trPr>
        <w:tc>
          <w:tcPr>
            <w:tcW w:type="dxa" w:w="15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Resend</w:t>
            </w:r>
          </w:p>
        </w:tc>
        <w:tc>
          <w:tcPr>
            <w:tcW w:type="dxa" w:w="33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Tranzakciós e-mail; cím, név, üzenet/meta.</w:t>
            </w:r>
          </w:p>
        </w:tc>
        <w:tc>
          <w:tcPr>
            <w:tcW w:type="dxa" w:w="25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USA; SCC/DPF szerint.</w:t>
            </w:r>
          </w:p>
        </w:tc>
        <w:tc>
          <w:tcPr>
            <w:tcW w:type="dxa" w:w="20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Aktív — retention ellenőrzendő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Upstash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Rate limiting; álnévi kulcsok és technikai meta.</w:t>
            </w:r>
          </w:p>
        </w:tc>
        <w:tc>
          <w:tcPr>
            <w:tcW w:type="dxa" w:w="25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[DÖNTENDŐ régió]; SCC/DPF szükség szerint.</w:t>
            </w:r>
          </w:p>
        </w:tc>
        <w:tc>
          <w:tcPr>
            <w:tcW w:type="dxa" w:w="2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Aktív komponens — adatáramlás ellenőrzendő</w:t>
            </w:r>
          </w:p>
        </w:tc>
      </w:tr>
      <w:tr>
        <w:trPr>
          <w:cantSplit/>
        </w:trPr>
        <w:tc>
          <w:tcPr>
            <w:tcW w:type="dxa" w:w="15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Anthropic</w:t>
            </w:r>
          </w:p>
        </w:tc>
        <w:tc>
          <w:tcPr>
            <w:tcW w:type="dxa" w:w="33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Csapatriport gépi angol fordítása; riporttartalom csak külön engedélyezett funkciónál.</w:t>
            </w:r>
          </w:p>
        </w:tc>
        <w:tc>
          <w:tcPr>
            <w:tcW w:type="dxa" w:w="256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[DÖNTENDŐ]; DPA/SCC szükség szerint.</w:t>
            </w:r>
          </w:p>
        </w:tc>
        <w:tc>
          <w:tcPr>
            <w:tcW w:type="dxa" w:w="20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Feltételes — bekapcsolás előtt DPIA/transzfer review</w:t>
            </w:r>
          </w:p>
        </w:tc>
      </w:tr>
    </w:tbl>
    <w:p>
      <w:pPr>
        <w:pStyle w:val="Heading1"/>
      </w:pPr>
      <w:r>
        <w:t>4. melléklet — Aláírási blokk</w:t>
      </w:r>
    </w:p>
    <w:p>
      <w:r>
        <w:rPr>
          <w:rFonts w:ascii="Calibri" w:hAnsi="Calibri"/>
          <w:b w:val="0"/>
          <w:i w:val="0"/>
          <w:color w:val="17211F"/>
          <w:sz w:val="21"/>
        </w:rPr>
        <w:t>A felek kijelentik, hogy a DPA-t és mellékleteit megismerték, és az alapul szolgáló szerződés részeként elfogadják.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3E38"/>
                <w:sz w:val="19"/>
              </w:rPr>
              <w:t>ADATKEZELŐ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3F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3E38"/>
                <w:sz w:val="19"/>
              </w:rPr>
              <w:t>ADATFELDOLGOZÓ</w:t>
            </w:r>
          </w:p>
        </w:tc>
        <w:trPr>
          <w:tblHeader/>
        </w:trPr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9"/>
              </w:rPr>
              <w:t>Név: [DÖNTENDŐ]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9"/>
              </w:rPr>
              <w:t>OKNILIK Kft.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9"/>
              </w:rPr>
              <w:t>Képviselő: [DÖNTENDŐ]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9"/>
              </w:rPr>
              <w:t>Képviselő: [DÖNTENDŐ]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9"/>
              </w:rPr>
              <w:t>Dátum: [DÖNTENDŐ]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9"/>
              </w:rPr>
              <w:t>Dátum: [DÖNTENDŐ]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9"/>
              </w:rPr>
              <w:t>Aláírás: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9"/>
              </w:rPr>
              <w:t>Aláírás: __________________</w:t>
            </w:r>
          </w:p>
        </w:tc>
      </w:tr>
    </w:tbl>
    <w:p>
      <w:pPr>
        <w:pStyle w:val="Heading1"/>
        <w:pageBreakBefore/>
      </w:pPr>
      <w:r>
        <w:t>Ügyvédi és üzleti review-lista</w:t>
      </w:r>
    </w:p>
    <w:p>
      <w:r>
        <w:rPr>
          <w:rFonts w:ascii="Calibri" w:hAnsi="Calibri"/>
          <w:b w:val="0"/>
          <w:i w:val="0"/>
          <w:color w:val="17211F"/>
          <w:sz w:val="21"/>
        </w:rPr>
        <w:t>A szöveg publikálása vagy aláírása előtt az alábbi pontokat kell lezárni. A dokumentumban szereplő [DÖNTENDŐ] jelölések ezekhez kapcsolódnak.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650"/>
        <w:gridCol w:w="3000"/>
        <w:gridCol w:w="4010"/>
        <w:gridCol w:w="170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Döntési pont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Javasolt alapállás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03E3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Tulajdonos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1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Incidensértesítési maximum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Indokolatlan késedelem nélkül; belső cél 24 óra. Csak vállalható SLA kerüljön szerződésbe.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Security / Legal</w:t>
            </w:r>
          </w:p>
        </w:tc>
      </w:tr>
      <w:tr>
        <w:trPr>
          <w:cantSplit/>
        </w:trPr>
        <w:tc>
          <w:tcPr>
            <w:tcW w:type="dxa" w:w="65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2</w:t>
            </w:r>
          </w:p>
        </w:tc>
        <w:tc>
          <w:tcPr>
            <w:tcW w:type="dxa" w:w="30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Új alfeldolgozó értesítése</w:t>
            </w:r>
          </w:p>
        </w:tc>
        <w:tc>
          <w:tcPr>
            <w:tcW w:type="dxa" w:w="401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30 napos előzetes értesítés és megalapozott kifogási jog.</w:t>
            </w:r>
          </w:p>
        </w:tc>
        <w:tc>
          <w:tcPr>
            <w:tcW w:type="dxa" w:w="17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Privacy / Ops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3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Szolgáltatói jogi entitások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Minden DPA/SCC/DPF és régió szerződésből igazolandó.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Privacy / Legal</w:t>
            </w:r>
          </w:p>
        </w:tc>
      </w:tr>
      <w:tr>
        <w:trPr>
          <w:cantSplit/>
        </w:trPr>
        <w:tc>
          <w:tcPr>
            <w:tcW w:type="dxa" w:w="65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4</w:t>
            </w:r>
          </w:p>
        </w:tc>
        <w:tc>
          <w:tcPr>
            <w:tcW w:type="dxa" w:w="30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Anthropic riportfordítás</w:t>
            </w:r>
          </w:p>
        </w:tc>
        <w:tc>
          <w:tcPr>
            <w:tcW w:type="dxa" w:w="401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Alapból kikapcsolva; csak ügyfélengedéllyel és adatáramlási review után.</w:t>
            </w:r>
          </w:p>
        </w:tc>
        <w:tc>
          <w:tcPr>
            <w:tcW w:type="dxa" w:w="17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Product / Privacy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5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Upstash adatáramlás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Rate-limit kulcsok személyesadat-jellegének és régiójának dokumentálása.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Engineering / Privacy</w:t>
            </w:r>
          </w:p>
        </w:tc>
      </w:tr>
      <w:tr>
        <w:trPr>
          <w:cantSplit/>
        </w:trPr>
        <w:tc>
          <w:tcPr>
            <w:tcW w:type="dxa" w:w="65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6</w:t>
            </w:r>
          </w:p>
        </w:tc>
        <w:tc>
          <w:tcPr>
            <w:tcW w:type="dxa" w:w="30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Törlési és backup határidő</w:t>
            </w:r>
          </w:p>
        </w:tc>
        <w:tc>
          <w:tcPr>
            <w:tcW w:type="dxa" w:w="401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Szerződés után 90 nap, backup további max. 30 nap — architektúrával igazolni.</w:t>
            </w:r>
          </w:p>
        </w:tc>
        <w:tc>
          <w:tcPr>
            <w:tcW w:type="dxa" w:w="17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Engineering / Legal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7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TOM-ok bizonyíthatósága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RTO/RPO, restore-teszt, vuln scan, oktatás és hozzáférés-review dokumentálása.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Security / Ops</w:t>
            </w:r>
          </w:p>
        </w:tc>
      </w:tr>
      <w:tr>
        <w:trPr>
          <w:cantSplit/>
        </w:trPr>
        <w:tc>
          <w:tcPr>
            <w:tcW w:type="dxa" w:w="65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8</w:t>
            </w:r>
          </w:p>
        </w:tc>
        <w:tc>
          <w:tcPr>
            <w:tcW w:type="dxa" w:w="30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DPIA</w:t>
            </w:r>
          </w:p>
        </w:tc>
        <w:tc>
          <w:tcPr>
            <w:tcW w:type="dxa" w:w="401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Munkavállalói profilalkotásra külön DPIA-sablon a megrendelőnek.</w:t>
            </w:r>
          </w:p>
        </w:tc>
        <w:tc>
          <w:tcPr>
            <w:tcW w:type="dxa" w:w="1700"/>
            <w:shd w:fill="F5F8F7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1F"/>
                <w:sz w:val="17"/>
              </w:rPr>
              <w:t>Privacy / Legal</w:t>
            </w:r>
          </w:p>
        </w:tc>
      </w:tr>
    </w:tbl>
    <w:p>
      <w:pPr>
        <w:pStyle w:val="Heading2"/>
      </w:pPr>
      <w:r>
        <w:t>Jogszabályi háttér (ellenőrzési lista)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2013. évi V. törvény a Polgári Törvénykönyvről.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2001. évi CVIII. törvény az elektronikus kereskedelmi szolgáltatásokról.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45/2014. (II. 26.) Korm. rendelet a fogyasztói szerződésekről.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373/2021. (VI. 30.) Korm. rendelet a digitális tartalom és digitális szolgáltatás szerződésszerű teljesítéséről.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1997. évi CLV. törvény a fogyasztóvédelemről.</w:t>
      </w:r>
    </w:p>
    <w:p>
      <w:pPr>
        <w:pStyle w:val="ListBullet"/>
      </w:pPr>
      <w:r>
        <w:rPr>
          <w:rFonts w:ascii="Calibri" w:hAnsi="Calibri"/>
          <w:b w:val="0"/>
          <w:i w:val="0"/>
          <w:color w:val="17211F"/>
          <w:sz w:val="21"/>
        </w:rPr>
        <w:t>(EU) 2016/679 rendelet (GDPR), különösen a 28., 32–36. cikk.</w:t>
      </w:r>
    </w:p>
    <w:sectPr>
      <w:headerReference w:type="default" r:id="rId9"/>
      <w:footerReference w:type="default" r:id="rId10"/>
      <w:pgSz w:w="11905" w:h="16838"/>
      <w:pgMar w:top="1123" w:right="1267" w:bottom="1123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E6B68"/>
        <w:sz w:val="17"/>
      </w:rPr>
      <w:t xml:space="preserve">ÜGYVÉDI REVIEW-DRAFT  •  2026. augusztus 28.  •  </w:t>
    </w:r>
    <w:r>
      <w:rPr>
        <w:rFonts w:ascii="Calibri" w:hAnsi="Calibri"/>
        <w:b w:val="0"/>
        <w:i w:val="0"/>
        <w:color w:val="5E6B6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E6B68"/>
        <w:sz w:val="17"/>
      </w:rPr>
      <w:t>TRITA  |  Adatfeldolgozási Megállapodás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721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03E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45C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03E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80" w:line="240" w:lineRule="auto"/>
    </w:pPr>
    <w:rPr>
      <w:rFonts w:ascii="Calibri" w:hAnsi="Calibri"/>
      <w:color w:val="5E6B6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trita-adatfeldolgozasi-megallapodas-dpa-review-draft-2026-08-28</dc:title>
  <dc:subject>Trita ügyvédi review-draft</dc:subject>
  <dc:creator/>
  <cp:keywords>Trita, szerződés, review-draft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