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2"/>
        </w:rPr>
        <w:t>Anforderungsabgleich EyeMatics Klinischer Demonstrator (EMD)</w:t>
      </w:r>
    </w:p>
    <w:p>
      <w:r>
        <w:rPr>
          <w:b/>
        </w:rPr>
        <w:t>Stand: 10.04.2026 — Version 2.3</w:t>
      </w:r>
    </w:p>
    <w:p>
      <w:r>
        <w:t>Dieses Dokument stellt den systematischen Abgleich aller Anforderungen aus dem Lastenheft (RE-EM-LH, Kernaufgaben K01–K11) mit dem Pflichtenheft (EMDREQ-*) und dem aktuellen Implementierungsstand des EyeMatics Klinischen Demonstrators (EMD) dar. Die Bewertung basiert auf der tatsächlich implementierten Funktionalität der Web-Anwendung.</w:t>
      </w:r>
    </w:p>
    <w:p>
      <w:pPr>
        <w:pStyle w:val="Heading2"/>
      </w:pPr>
      <w:r>
        <w:t>Legende</w:t>
      </w:r>
    </w:p>
    <w:p>
      <w:r>
        <w:rPr>
          <w:b/>
        </w:rPr>
        <w:t>Umgesetzt</w:t>
      </w:r>
      <w:r>
        <w:t xml:space="preserve">  Anforderung ist vollständig implementiert.</w:t>
      </w:r>
    </w:p>
    <w:p>
      <w:r>
        <w:rPr>
          <w:b/>
        </w:rPr>
        <w:t>Teilweise</w:t>
      </w:r>
      <w:r>
        <w:t xml:space="preserve">  Anforderung ist teilweise implementiert; einzelne Aspekte fehlen.</w:t>
      </w:r>
    </w:p>
    <w:p>
      <w:r>
        <w:rPr>
          <w:b/>
        </w:rPr>
        <w:t>Abweichend</w:t>
      </w:r>
      <w:r>
        <w:t xml:space="preserve">  Implementierung weicht bewusst von der Lastenheft-Spezifikation ab.</w:t>
      </w:r>
    </w:p>
    <w:p>
      <w:r>
        <w:rPr>
          <w:b/>
        </w:rPr>
        <w:t>Nicht umgesetzt</w:t>
      </w:r>
      <w:r>
        <w:t xml:space="preserve">  Anforderung ist nicht implementiert (ggf. außerhalb der Systemgrenze).</w:t>
      </w:r>
    </w:p>
    <w:p>
      <w:pPr>
        <w:pStyle w:val="Heading1"/>
      </w:pPr>
      <w:r>
        <w:t>Anforderungsübersicht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K01: Im System anmelden / abmelden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Nutzername/Passwort Eingabe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LoginPage mit Username/Password; serverseitige Validierung via POST /api/auth/login mit bcrypt-Hashing (Phase 2)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Nutzername/Passwort Bestätigung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Weiter-Button sendet Credentials an Server; bcrypt.compare() validiert serverseitig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OTP 2-FA Eingabe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OTP-Schritt nach Credentials; konfigurierbar via settings.yaml auth.twoFactorEnabled; fester OTP-Code fuer Demonstrator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OTP 2-FA Bestätigung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Server validiert OTP via POST /api/auth/verify; Challenge-Token mit 2-Min-Ablauf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Abbruch Anmeldeprozess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Zurueck-Button im OTP-Schritt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Fehlermeldung bei falschen Daten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Generische Fehlermeldung (kein Username-Enumeration); Server gibt 401 zurueck (T-02-05)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Wiederholung bei falschem Passwort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Serverseitige Ratenbegrenzung: Sperrung nach 5 Fehlversuchen (konfigurierbar); exponentieller Backoff; EMDREQ-USM-006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Wiederholung bei falschem OTP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Serverseitige OTP-Validierung; OTP-Fehlversuche teilen Sperrzaehler mit Passwort-Versuchen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Anmelde-/Abmeldestatus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Sidebar zeigt Anzeigenamen (Vor-/Nachname) aus serverseitiger Nutzerliste (GET /api/auth/users)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Aktive Abmeldung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Abmelden-Button loescht JWT aus sessionStorage; Server-Audit protokolliert automatisch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Auto-Abmeldung bei Inaktivität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EMDREQ-USM-008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10 Min Timeout mit 1-Min Warnung; JWT-Ablauf 10 Min serverseitig erzwungen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K02: Erzeugen eines Datensatzes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Parameter konfigurierbar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Filter: Diagnose, Geschlecht, Alter, Visus, CRT, Zentrum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0-N Kriterien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Beliebige Kombination von Filtern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nach Kriterien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Gefilterte Fallliste mit Fallzahl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Unabhängige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Filterparameter verfügbar, keine explizite Parameterauswahl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Abhängige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Filterparameter verfügbar, keine explizite Parameterauswahl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Sub-Kohorten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Filterung nach Zentrum als Sub-Kohorte, keine freie Fraktionierung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über Zentren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AnalysisPage: Zentrumsverteilung als Balkendiagramm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Messwerte im zeitlichen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Visus/CRT Verlaufsdiagramme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Sub-Kohorten parallel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Kohortenmittelwert im Einzelfall, keine parallelen Sub-Kohorten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absoluter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Histogramme für Visus, CRT auf Kohorten- und Einzelfallebene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N02.11a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Werte in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Verteilung pro Zentrum möglich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N02.11b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Werte über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Gesamtverteilung, kein Sub-Kohortenvergleich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Änderung zum Ausgangswert im Einzelfall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N02.13a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Werte in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Im Einzelfall verfügbar, nicht als 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N02.13b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Werte über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Im Einzelfall verfügbar, nicht als 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Adverse Events / kritische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Adverse Events im Case Detail, Anomalien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Kohorte in Subkohorten aufteilen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 als Subkohortendefinition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Kohorte speichern/benennen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Suchdefinition gespeichert, nicht Ergebnisdaten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K03: Source-Data Verification und Fehlerkennzeichnung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 prüfende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Quality Review Parameter-Auswahl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anzeigen (unvollst./geprüft)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Prüfstatus-Badges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Vergleich mit Patientenakte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Zugriff auf identifizierbare Primärdaten nicht vorgesehen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Kriterien für Verifikation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Plausibilitätskriterien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mit fehlenden Daten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 zeigt fehlende Werte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mit unwahrscheinlichen Werten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Plausibilitätsprüfung für Visus, CRT, IOP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 aus Sub-Kohorte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Klickbare Fälle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 prüfende Werte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Detailansicht mit allen Messwerten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Unwahrscheinliche Werte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Farbkodierte Anomaliekennzeichnung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Fehler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Flag-Dialog mit Fehlertyp-Auswahl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Prüfungsergebnisse pro Fall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Reviewed/Flagged Status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Prüfungsergebnisse pro Parameter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Flag-Status pro Parameter angezeigt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Art eines Fehlers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Fehlertyp-Auswahl beim Flaggen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Verantwortliche anzeigen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Datenschutzrechtlich nicht vorgesehen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Externe Bewertungen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Mehrfachbewertungen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Einsichten mit Zeitstempel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EMDREQ-PROT-001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Serverseitiges SQLite-Audit-Log (audit.db); jede API-Anfrage wird automatisch durch Middleware protokolliert; unveraenderlich vom Client; konfigurierbare Aufbewahrung (Standard 90 Tage)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Datennutzungsprojekt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K04: Fehlerbehandlung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Fehlerbehandlung pro Fall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Flag-Status und Reviewed-Status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für falschen Parameter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Parameter-spezifische Fehlermarkierung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Fall/Parameter ausschließen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EMDREQ-QUAL-008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Exclude/Include-Funktion für Fälle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Änderungsverläufe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Nicht sinnvoll bei nicht-manipulativer Nutzung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Eingaben mit Zeitstempel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Keine Rückschreibung ins Primärsystem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K05: Betrachtung der Untersuchungs- und Therapiemaßnahmen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Pseudonymisierung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Alle Daten pseudonym, keine Reidentifikation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Starke Abweichungen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 und Farbkodierung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 aus Kohorte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Klickbare Patientenzeilen → CaseDetailPage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Injektionszeitpunkte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Arzneimittel/Dosierung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Medikationshistorie mit Präparatnamen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Augeninnendruck/Messmethode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IOP-Werte mit Messmethode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Visus/Art/Korrektur/Messmethode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BCVA/UCVA und Korrekturtyp angezeigt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Anamnese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Ophthalmologische/nicht-ophthalmologische Anamnese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Refraktionswerte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Sphäre, Zylinder, Achse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Lateralität (links/rechts)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OD/OS Zuordnung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Prozeduren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Injektionsverfahren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Behandlungsschema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 mit Medikation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Behandlungsindikation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Diagnose-Badges mit ICD-10 Tooltips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Präparat inkl. Handelsname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Eylea, Lucentis, Beovu, Vabysmo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Befunde vorderer/hinterer Abschnitt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Segment-Findings Abschnitt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Diabetesspezifische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HbA1c Anzeige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Verlaufsdokumentation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Zeitliche Verlaufsdiagramme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 interpolieren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Liniendiagramm mit Interpolation; interpolierte Segmente visuell gekennzeichnet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Gemessene Werte als gefüllte Kreise, interpolierte als leere Kreise mit gestricheltem Rand; Hinweistext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Verlauf mit expliziter Kennzeichnung interpolierter Punkte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Therapieschema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Präparat-Wechsel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Drug-Switch Marker in 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Vergleich mit Kohortenwerten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Kohortenmittelwert als gestrichelte Linie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Metrische Parameter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Visus, CRT, IOP im Zeitverlauf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Injektionsgabe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Einzelwert-Anzeige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Veränderungen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Change from Baseline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Kritische Werte erkennen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Adverse Events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Adverse Events Abschnitt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Aggregierte Darstellung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Zusammenfassende Metriken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absoluter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Histogramme für Visus (5 Bins) und CRT (6 Bins) pro Patient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relativer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Änderung als Verlaufsdiagramm; Histogramm-Verteilungen verfügbar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Anzahl krit. Wertüberschreitungen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Exakte Zählung: N× CRT &gt; 400 µm, N× Visus &lt; 0.1, N× IOD &gt; 21 mmHg im Header-Badge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Anzahl Adverse Events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AE-Anzahl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Zusammenhänge zwischen Parametern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Dual-Axis Chart (Visus/CRT), Alter-Visus Scatter (Kohorte), Visus-vs-CRT Scatter (Einzelfall)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K06: Kennzeichnung Therapieabbrecher/-unterbrecher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 t Therapieunterbrecher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Konfigurierbar in Settings (default 120 Tage), in settings.yaml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Automatische Kennzeichnung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Nach Abbrechern filtern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EMDREQ-QUAL-010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Filterkategorie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 t' Therapieabbrecher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Konfigurierbar in Settings (default 365 Tage), in settings.yaml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Alle Abbrecher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EMDREQ-QUAL-010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Gesamtliste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Abbruch/Unterbrechung eindeutig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Farbkodierte Badges (rot/gelb)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Kriterium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Schwellenwert in Tagen angezeigt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K07: Benchmarking der Dokumentationsqualität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Zentrum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Zentrumsauswahl in DocQualityPage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Zeitraum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Zeitraumfilter (6M/1J/Gesamt)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Qualität des Zentrums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Vollzähligkeit, Vollständigkeit, Plausibilität, Gesamt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SDV-Stichproben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Setzt identifizierbare Primärdaten voraus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Qualität aller Zentren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Vergleichs-Balkendiagramm und Tabelle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Aktualisierungsfrequenz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Letzte Aktualisierung auf Landing Page, keine Frequenz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K08: Download eines Datensatzes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K08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N08.01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Datensatz downloaden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Could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CSV-Export in Quality Review; CSV und JSON Export im Cohort Builder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K09: Anzeige der Suchhistorie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Vorherige Suche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Saved Searches Panel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Nach Datum/Name sortieren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Sortierbare Suchliste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Suche neu ausführen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 lädt Filter und führt aus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Persistierte Version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Nur Suchdefinition, keine Datenkopie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K10: Nutzer*in hinzufügen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Rollen verwalten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6 Rollen; Nutzerliste vom Server geladen (GET /api/auth/users); Nutzerverwaltung-Tab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Zentren zuweisen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Multi-Center Toggle-Buttons; Zentren in JWT-Payload und users.json gespeichert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Anmeldename/Passwort zuweisen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Eindeutige Benutzerkennung; Passwoerter serverseitig mit bcrypt gehasht (data/users.json)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 anlegen/speichern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Nutzeranlage in AdminPage; serverseitig in data/users.json persistiert (nicht mehr localStorage)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K11: Informationen über Datengrundlage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N11.01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Zentren auf Landing Page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Name, Standort, Kürzel, Nutzerzahl, letzte Aktualisierung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N11.02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Patienten je Zentrum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Pseudonyme Fallzahl angezeigt, Gesamtzahl nicht über DSF verfügbar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Protokollierung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Protokollierung Zugriffe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EMDREQ-PROT-001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Serverseitiges Audit-Log: SQLite mit WAL-Modus; Middleware protokolliert automatisch Zeitpunkt, Nutzer, Methode, Pfad, Status; Passwoerter/OTPs werden geschwaerzt; AuditPage zeigt uebersetzte Ereignisse; Admin-Export als CSV</w:t>
            </w:r>
          </w:p>
        </w:tc>
      </w:tr>
    </w:tbl>
    <w:p>
      <w:pPr>
        <w:pStyle w:val="Heading1"/>
      </w:pPr>
      <w:r>
        <w:t>Zusätzliche implementierte Features (über Lastenheft hinaus)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2FA abschaltbar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Two-Factor Authentication kann in Settings deaktiviert werden; Änderungen werden im Audit-Log protokolliert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Einstellungen als YAML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Konfiguration in settings.yaml, YAML-Export aus Settings-Seite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Datenabstraktionsschicht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Datenquelle wählbar: lokale JSON-Dateien oder Blaze FHIR Server; Wechsel wird im Audit-Log protokolliert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ICD-10 Tooltips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Mouseover mit ausgeschriebener Diagnose bei allen ICD-10 Codes und Diagnose-Kuchenstücken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OCT-Bildbetrachter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Retina-Bildansicht mit Vergleichsmodus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Internationalisierung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Vollständig zweisprachig (Deutsch/Englisch)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Blaze FHIR Server Script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Automatisiertes Setup-Script für Blaze Docker-Container mit Docker-Daemon-Prüfung</w:t>
            </w:r>
          </w:p>
        </w:tc>
      </w:tr>
    </w:tbl>
    <w:p>
      <w:pPr>
        <w:pStyle w:val="Heading1"/>
      </w:pPr>
      <w:r>
        <w:t>Heute durch Prompting hinzugefügte Features (09.04.2026)</w:t>
      </w:r>
    </w:p>
    <w:p>
      <w:r>
        <w:t>Die folgenden Features wurden im Rahmen der heutigen Entwicklungssitzung durch AI-gestütztes Prompting (Claude Code) hinzugefügt. Diese Features sind weder im Lastenheft (RE-EM-LH) noch im Pflichtenheft (EMDREQ-*) spezifiziert und stellen zusätzliche Funktionalitäten dar, die den Demonstrator über die definierten Anforderungen hinaus verbessern.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Issue-Reporting mit Screenshot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Seitenübergreifender Feedback-Button mit automatischer Screenshot-Erfassung via html2canvas. Serverseitige JSON-Speicherung in feedback/. REST-API und Export via Settings-Seite.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CSV-Export Datenqualität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Export der Quality-Review-Ergebnisse als CSV-Datei aus der QualityPage.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Anzeigenamen für Nutzer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displayName im AuthContext: zeigt "Vorname Nachname (username)" in Sidebar und Landing Page.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Audit-Log für Settings-Änderungen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Neue Audit-Aktion change_setting protokolliert 2FA- und Datenquellen-Änderungen.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Datenquelle Live-Wechsel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reloadData() im DataContext ermöglicht Neuladen nach Datenquellenwechsel ohne Browser-Reload.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Blaze FHIR CORS-Proxy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Vite-Server-Proxy und proxyUrl() umgehen CORS-Beschränkungen beim Blaze-Zugriff.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Diagnose-Tooltip im Kuchendiagramm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Custom Tooltip zeigt vollständige Diagnosebeschreibung inkl. SNOMED-Code.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Alter-vs-Visus Scatter Plot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Streudiagramm auf Kohortenebene (AnalysisPage).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MIT-Lizenz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LICENSE-Datei (MIT). Lizenzfeld in package.json.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Distributable Package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tar.gz-Archiv für einfache Weitergabe.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Kritische Überschreitungen zählen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Exakte Zählung: N× CRT &gt; 400 µm, N× Visus &lt; 0.1, N× IOD &gt; 21 mmHg als Badge im Case Detail Header.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Gemessene Werte = gefüllte Kreise, interpolierte = leere Kreise mit gestricheltem Rand. Hinweistext.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Visus-Histogramm pro Patient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 mit 5 Bins (0–0.2 bis 0.8–1.0) im Case Detail.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CRT-Histogramm pro Patient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 mit 6 Bins (&lt;200 bis &gt;400), kritischer Bereich rot eingefärbt.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Visus-vs-CRT Scatter (Einzelfall)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Scatter Plot auf Patientenebene: Visus (X) vs. CRT (Y) pro Messzeitpunkt mit Datum-Tooltip.</w:t>
            </w:r>
          </w:p>
        </w:tc>
      </w:tr>
    </w:tbl>
    <w:p>
      <w:pPr>
        <w:pStyle w:val="Heading1"/>
      </w:pPr>
      <w:r>
        <w:t>Zusammenfassung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Anteil</w:t>
            </w:r>
          </w:p>
        </w:tc>
      </w:tr>
      <w:tr>
        <w:tc>
          <w:tcPr>
            <w:tcW w:type="dxa" w:w="2880"/>
            <w:shd w:val="clear" w:color="auto" w:fill="92D05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80%</w:t>
            </w:r>
          </w:p>
        </w:tc>
      </w:tr>
      <w:tr>
        <w:tc>
          <w:tcPr>
            <w:tcW w:type="dxa" w:w="2880"/>
            <w:shd w:val="clear" w:color="auto" w:fill="FFC000"/>
          </w:tcPr>
          <w:p>
            <w:r>
              <w:rPr>
                <w:sz w:val="18"/>
              </w:rPr>
              <w:t>Teilweise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8%</w:t>
            </w:r>
          </w:p>
        </w:tc>
      </w:tr>
      <w:tr>
        <w:tc>
          <w:tcPr>
            <w:tcW w:type="dxa" w:w="2880"/>
            <w:shd w:val="clear" w:color="auto" w:fill="8DB4E2"/>
          </w:tcPr>
          <w:p>
            <w:r>
              <w:rPr>
                <w:sz w:val="18"/>
              </w:rPr>
              <w:t>Abweichend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9%</w:t>
            </w:r>
          </w:p>
        </w:tc>
      </w:tr>
      <w:tr>
        <w:tc>
          <w:tcPr>
            <w:tcW w:type="dxa" w:w="2880"/>
            <w:shd w:val="clear" w:color="auto" w:fill="FF6666"/>
          </w:tcPr>
          <w:p>
            <w:r>
              <w:rPr>
                <w:sz w:val="18"/>
              </w:rPr>
              <w:t>Nicht umgesetzt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Gesamt (Lastenheft)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112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18"/>
              </w:rPr>
              <w:t>100%</w:t>
            </w:r>
          </w:p>
        </w:tc>
      </w:tr>
    </w:tbl>
    <w:p>
      <w:r>
        <w:t>Zusaetzlich wurden 7 Features implementiert, die ueber die Lastenheft-Anforderungen hinausgehen. Phase 2 hat die serverseitige Authentifizierung (bcrypt + JWT + 2FA) und das manipulationssichere Audit-Log (SQLite) abgeschlossen.</w:t>
      </w:r>
    </w:p>
    <w:p>
      <w:r>
        <w:t>Von den 8 nicht umgesetzten Anforderungen liegen 6 bewusst außerhalb der Systemgrenze des Demonstrators (Won't).</w:t>
      </w:r>
    </w:p>
    <w:p>
      <w:pPr>
        <w:pStyle w:val="Heading2"/>
      </w:pPr>
      <w:r>
        <w:t>Aenderungen gegenueber Version 2.2</w:t>
      </w:r>
    </w:p>
    <w:p>
      <w:r>
        <w:rPr>
          <w:b/>
        </w:rPr>
        <w:t>Folgende Aenderungen wurden von v2.2 → v2.3 durch Phase 2 (serverseitige Authentifizierung + Audit) vorgenommen:</w:t>
      </w:r>
    </w:p>
    <w:p>
      <w:pPr>
        <w:pStyle w:val="ListBullet"/>
      </w:pPr>
      <w:r>
        <w:rPr>
          <w:sz w:val="18"/>
        </w:rPr>
        <w:t>Nr. 1-11 (K01 Login): Bemerkungen aktualisiert — serverseitige bcrypt-Authentifizierung via JWT</w:t>
      </w:r>
    </w:p>
    <w:p>
      <w:pPr>
        <w:pStyle w:val="ListBullet"/>
      </w:pPr>
      <w:r>
        <w:rPr>
          <w:sz w:val="18"/>
        </w:rPr>
        <w:t>Nr. 6 (Must): Fehlermeldung — generisch (kein Username-Enumeration), serverseitig erzwungen</w:t>
      </w:r>
    </w:p>
    <w:p>
      <w:pPr>
        <w:pStyle w:val="ListBullet"/>
      </w:pPr>
      <w:r>
        <w:rPr>
          <w:sz w:val="18"/>
        </w:rPr>
        <w:t>Nr. 7 (Must): Wiederholung — serverseitige Ratenbegrenzung mit exponentieller Sperre (EMDREQ-USM-006)</w:t>
      </w:r>
    </w:p>
    <w:p>
      <w:pPr>
        <w:pStyle w:val="ListBullet"/>
      </w:pPr>
      <w:r>
        <w:rPr>
          <w:sz w:val="18"/>
        </w:rPr>
        <w:t>Nr. 46 (Must): Einsichten mit Zeitstempel — von „Abweichend" → „Umgesetzt" (serverseitiges SQLite-Audit-Log)</w:t>
      </w:r>
    </w:p>
    <w:p>
      <w:pPr>
        <w:pStyle w:val="ListBullet"/>
      </w:pPr>
      <w:r>
        <w:rPr>
          <w:sz w:val="18"/>
        </w:rPr>
        <w:t>Nr. 106-109 (K10 Nutzerverwaltung): Bemerkungen aktualisiert — serverseitige Persistierung in data/users.json</w:t>
      </w:r>
    </w:p>
    <w:p>
      <w:pPr>
        <w:pStyle w:val="ListBullet"/>
      </w:pPr>
      <w:r>
        <w:rPr>
          <w:sz w:val="18"/>
        </w:rPr>
        <w:t>Nr. 112 (Protokollierung): Bemerkung aktualisiert — SQLite-Audit mit Middleware, Schwaerzung, unveraenderlich</w:t>
      </w:r>
    </w:p>
    <w:p>
      <w:pPr>
        <w:pStyle w:val="ListBullet"/>
      </w:pPr>
      <w:r>
        <w:t>N05.35 (Must): Zusammenhänge zwischen Parametern — von „Teilweise" → „Umgesetzt"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