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d-v1.19-developer-response-to-uat-nf-round-7"/>
      <w:r>
        <w:t xml:space="preserve">EMD v1.19 — Developer Response to UAT (NF round 7)</w:t>
      </w:r>
      <w:bookmarkEnd w:id="20"/>
    </w:p>
    <w:p>
      <w:pPr>
        <w:pStyle w:val="FirstParagraph"/>
      </w:pPr>
      <w:r>
        <w:t xml:space="preserve">In response to</w:t>
      </w:r>
      <w:r>
        <w:t xml:space="preserve"> </w:t>
      </w:r>
      <w:r>
        <w:rPr>
          <w:rStyle w:val="VerbatimChar"/>
        </w:rPr>
        <w:t xml:space="preserve">EMD-v1.18-UAT-User-Response_2026-06-16</w:t>
      </w:r>
      <w:r>
        <w:t xml:space="preserve">. Per item: what you reported, what changed, how to verify, status.</w:t>
      </w:r>
      <w:r>
        <w:t xml:space="preserve"> </w:t>
      </w:r>
      <w:r>
        <w:t xml:space="preserve">Legend: ✅ Fixed · ⚪ Kept by design (explained) · ↪ Backlog</w:t>
      </w:r>
    </w:p>
    <w:p>
      <w:pPr>
        <w:pStyle w:val="BodyText"/>
      </w:pPr>
      <w:r>
        <w:t xml:space="preserve">Confirmed-closed by you this round and not repeated: the highlighting of lines works, the cohort-reference toggle in the header, the unified legend/axis, the Offene-Kreise removal, the annotation column, and the theme default. The follow-ups and new remarks are below.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rajectory-verläufe"/>
      <w:r>
        <w:t xml:space="preserve">Trajectory (Verläufe)</w:t>
      </w:r>
      <w:bookmarkEnd w:id="21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 highlighting should work whenever I hover over a line, not only when I hit an actual measurement.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Scatter points should also be highlighted when I hover over them — right now there are tooltips only, no highlighting.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N2 — hovered scatter points are now highlighted.</w:t>
      </w:r>
      <w:r>
        <w:t xml:space="preserve"> </w:t>
      </w:r>
      <w:r>
        <w:t xml:space="preserve">Hovering a point in the cloud emphasises that point (an enlarged, ringed marker) in addition to the single detailed tooltip.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N1 — hovering a line emphasises it, but only at the measurement points (kept by design).</w:t>
      </w:r>
      <w:r>
        <w:t xml:space="preserve"> </w:t>
      </w:r>
      <w:r>
        <w:t xml:space="preserve">We investigated full</w:t>
      </w:r>
      <w:r>
        <w:t xml:space="preserve"> </w:t>
      </w:r>
      <w:r>
        <w:t xml:space="preserve">“</w:t>
      </w:r>
      <w:r>
        <w:t xml:space="preserve">hover anywhere along the line</w:t>
      </w:r>
      <w:r>
        <w:t xml:space="preserve">”</w:t>
      </w:r>
      <w:r>
        <w:t xml:space="preserve">: the charting framework (Plotly/WebGL) only reports a hover at actual data points, not on the empty stretch between them. The only way to change that is to pack each line with hundreds of synthetic in-between points — which (a) undoes the performance gain that fixed the earlier</w:t>
      </w:r>
      <w:r>
        <w:t xml:space="preserve"> </w:t>
      </w:r>
      <w:r>
        <w:t xml:space="preserve">“</w:t>
      </w:r>
      <w:r>
        <w:t xml:space="preserve">Verläufe is slow</w:t>
      </w:r>
      <w:r>
        <w:t xml:space="preserve">”</w:t>
      </w:r>
      <w:r>
        <w:t xml:space="preserve"> </w:t>
      </w:r>
      <w:r>
        <w:t xml:space="preserve">complaint, and (b) would make the tooltip show</w:t>
      </w:r>
      <w:r>
        <w:t xml:space="preserve"> </w:t>
      </w:r>
      <w:r>
        <w:rPr>
          <w:b/>
        </w:rPr>
        <w:t xml:space="preserve">made-up values that aren’t real measurements</w:t>
      </w:r>
      <w:r>
        <w:t xml:space="preserve">, which we don’t want in a clinical view. So line emphasis stays anchored to the measurement points. If you’d like, we can instead add</w:t>
      </w:r>
      <w:r>
        <w:t xml:space="preserve"> </w:t>
      </w:r>
      <w:r>
        <w:rPr>
          <w:b/>
        </w:rPr>
        <w:t xml:space="preserve">click-to-select a line</w:t>
      </w:r>
      <w:r>
        <w:t xml:space="preserve"> </w:t>
      </w:r>
      <w:r>
        <w:t xml:space="preserve">or a</w:t>
      </w:r>
      <w:r>
        <w:t xml:space="preserve"> </w:t>
      </w:r>
      <w:r>
        <w:rPr>
          <w:b/>
        </w:rPr>
        <w:t xml:space="preserve">patient picker</w:t>
      </w:r>
      <w:r>
        <w:t xml:space="preserve"> </w:t>
      </w:r>
      <w:r>
        <w:t xml:space="preserve">to highlight a curve — just say the word.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N2 fixed · ⚪ N1 kept by design (you noted</w:t>
      </w:r>
      <w:r>
        <w:t xml:space="preserve"> </w:t>
      </w:r>
      <w:r>
        <w:t xml:space="preserve">“</w:t>
      </w:r>
      <w:r>
        <w:t xml:space="preserve">only change when feasible in this framework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You also wrote (new):</w:t>
      </w:r>
      <w:r>
        <w:t xml:space="preserve"> </w:t>
      </w:r>
      <w:r>
        <w:t xml:space="preserve">“</w:t>
      </w:r>
      <w:r>
        <w:t xml:space="preserve">It must be self-evident what y-metric setting is used without opening the settings — add a y-axis label.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 (N9):</w:t>
      </w:r>
      <w:r>
        <w:t xml:space="preserve"> </w:t>
      </w:r>
      <w:r>
        <w:t xml:space="preserve">every trajectory panel now shows a</w:t>
      </w:r>
      <w:r>
        <w:t xml:space="preserve"> </w:t>
      </w:r>
      <w:r>
        <w:rPr>
          <w:b/>
        </w:rPr>
        <w:t xml:space="preserve">y-axis label</w:t>
      </w:r>
      <w:r>
        <w:t xml:space="preserve"> </w:t>
      </w:r>
      <w:r>
        <w:t xml:space="preserve">for the active metric (e.g.</w:t>
      </w:r>
      <w:r>
        <w:t xml:space="preserve"> </w:t>
      </w:r>
      <w:r>
        <w:t xml:space="preserve">“</w:t>
      </w:r>
      <w:r>
        <w:t xml:space="preserve">Δ logMAR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logMAR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Netzhautdicke (µm)</w:t>
      </w:r>
      <w:r>
        <w:t xml:space="preserve">”</w:t>
      </w:r>
      <w:r>
        <w:t xml:space="preserve">), so the plotted quantity is clear without opening Diagramm-Anzeige.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2" w:name="cohort-reference-toggle-placement"/>
      <w:r>
        <w:t xml:space="preserve">Cohort-reference toggle placement</w:t>
      </w:r>
      <w:bookmarkEnd w:id="22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It should be aligned to the right and the implausible-data warnings should appear next to the toggle on the left.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 (N3):</w:t>
      </w:r>
      <w:r>
        <w:t xml:space="preserve"> </w:t>
      </w:r>
      <w:r>
        <w:t xml:space="preserve">the header’s top-right cluster is reordered — the</w:t>
      </w:r>
      <w:r>
        <w:t xml:space="preserve"> </w:t>
      </w:r>
      <w:r>
        <w:rPr>
          <w:b/>
        </w:rPr>
        <w:t xml:space="preserve">implausible-data warnings sit to the left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Kohorten-Referenz anzeigen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toggle is the rightmost</w:t>
      </w:r>
      <w:r>
        <w:t xml:space="preserve"> </w:t>
      </w:r>
      <w:r>
        <w:t xml:space="preserve">element.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3" w:name="cohort-overlay-iod-axis-distribution-plots"/>
      <w:r>
        <w:t xml:space="preserve">Cohort overlay — IOD axis + distribution plots</w:t>
      </w:r>
      <w:bookmarkEnd w:id="23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For some patients the IOD axis does switch, but the individual dates are not removed (e.g. EM-UKT-0027).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The distribution bars are not aligned with the percentage y-axis, so patient vs cohort isn’t comparable. When the overlay is active: switch the y-axis fully to percentage; one bar for the patient % per range and one for the cohort-median % per range; tooltips with absolute counts; add an explanation.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N4 — IOD relative axis no longer shows leftover dates.</w:t>
      </w:r>
      <w:r>
        <w:t xml:space="preserve"> </w:t>
      </w:r>
      <w:r>
        <w:t xml:space="preserve">When the overlay is on, the IOD plot now switches cleanly to the relative</w:t>
      </w:r>
      <w:r>
        <w:t xml:space="preserve"> </w:t>
      </w:r>
      <w:r>
        <w:t xml:space="preserve">“</w:t>
      </w:r>
      <w:r>
        <w:t xml:space="preserve">Monate seit Erstvisite</w:t>
      </w:r>
      <w:r>
        <w:t xml:space="preserve">”</w:t>
      </w:r>
      <w:r>
        <w:t xml:space="preserve"> </w:t>
      </w:r>
      <w:r>
        <w:t xml:space="preserve">axis with</w:t>
      </w:r>
      <w:r>
        <w:t xml:space="preserve"> </w:t>
      </w:r>
      <w:r>
        <w:rPr>
          <w:b/>
        </w:rPr>
        <w:t xml:space="preserve">no residual calendar-date ticks</w:t>
      </w:r>
      <w:r>
        <w:t xml:space="preserve"> </w:t>
      </w:r>
      <w:r>
        <w:t xml:space="preserve">(verified on EM-UKT-0027).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N5 — distribution plots reworked for comparability.</w:t>
      </w:r>
      <w:r>
        <w:t xml:space="preserve"> </w:t>
      </w:r>
      <w:r>
        <w:t xml:space="preserve">With the overlay on, each histogram now shows, per measurement range,</w:t>
      </w:r>
      <w:r>
        <w:t xml:space="preserve"> </w:t>
      </w:r>
      <w:r>
        <w:rPr>
          <w:b/>
        </w:rPr>
        <w:t xml:space="preserve">two bars on one shared percentage axis</w:t>
      </w:r>
      <w:r>
        <w:t xml:space="preserve">: the</w:t>
      </w:r>
      <w:r>
        <w:t xml:space="preserve"> </w:t>
      </w:r>
      <w:r>
        <w:rPr>
          <w:b/>
        </w:rPr>
        <w:t xml:space="preserve">patient’s %</w:t>
      </w:r>
      <w:r>
        <w:t xml:space="preserve"> </w:t>
      </w:r>
      <w:r>
        <w:t xml:space="preserve">of their own measurements and the</w:t>
      </w:r>
      <w:r>
        <w:t xml:space="preserve"> </w:t>
      </w:r>
      <w:r>
        <w:rPr>
          <w:b/>
        </w:rPr>
        <w:t xml:space="preserve">cohort-median %</w:t>
      </w:r>
      <w:r>
        <w:t xml:space="preserve">. Hovering a bar shows the</w:t>
      </w:r>
      <w:r>
        <w:t xml:space="preserve"> </w:t>
      </w:r>
      <w:r>
        <w:rPr>
          <w:b/>
        </w:rPr>
        <w:t xml:space="preserve">absolute counts</w:t>
      </w:r>
      <w:r>
        <w:t xml:space="preserve"> </w:t>
      </w:r>
      <w:r>
        <w:t xml:space="preserve">(the patient’s actual count and the cohort-median count), and an ℹ note explains the plot. Patient and cohort are now directly comparable. (Overlay off keeps the simple count histogram.)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EM-UKT-0027 → enable</w:t>
      </w:r>
      <w:r>
        <w:t xml:space="preserve"> </w:t>
      </w:r>
      <w:r>
        <w:t xml:space="preserve">“</w:t>
      </w:r>
      <w:r>
        <w:t xml:space="preserve">Kohorten-Referenz anzeigen</w:t>
      </w:r>
      <w:r>
        <w:t xml:space="preserve">”</w:t>
      </w:r>
      <w:r>
        <w:t xml:space="preserve"> </w:t>
      </w:r>
      <w:r>
        <w:t xml:space="preserve">→ the IOD x-axis reads only relative months; the Visus/CRT distribution plots show paired patient/cohort %-bars on a 0–% axis, with counts on hover.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(N4 + N5).</w:t>
      </w:r>
    </w:p>
    <w:p>
      <w:pPr>
        <w:pStyle w:val="Heading2"/>
      </w:pPr>
      <w:bookmarkStart w:id="24" w:name="dark-mode"/>
      <w:r>
        <w:t xml:space="preserve">Dark mode</w:t>
      </w:r>
      <w:bookmarkEnd w:id="24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(a) make the theme selection a collapsible menu with the three options. (b) The following still don’t switch to dark mode:</w:t>
      </w:r>
      <w:r>
        <w:t xml:space="preserve"> </w:t>
      </w:r>
      <w:r>
        <w:t xml:space="preserve">‘</w:t>
      </w:r>
      <w:r>
        <w:t xml:space="preserve">Show raw data</w:t>
      </w:r>
      <w:r>
        <w:t xml:space="preserve">’</w:t>
      </w:r>
      <w:r>
        <w:t xml:space="preserve"> </w:t>
      </w:r>
      <w:r>
        <w:t xml:space="preserve">collapsibles in Verläufe; the Behandlungsintervall and Responder plots; the OCT-Images view in the Data-Quality case; Anamnese, Befunde, adverse events, Medikation and OCT-Images in the case view.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N7 — the theme selector is now a collapsible menu</w:t>
      </w:r>
      <w:r>
        <w:t xml:space="preserve"> </w:t>
      </w:r>
      <w:r>
        <w:t xml:space="preserve">with the three options (Hell / Dunkel / System) directly selectable, the active one marked. (The cycling button is retired.)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N6 — the remaining surfaces now follow dark mode: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Show raw data</w:t>
      </w:r>
      <w:r>
        <w:t xml:space="preserve">”</w:t>
      </w:r>
      <w:r>
        <w:t xml:space="preserve"> </w:t>
      </w:r>
      <w:r>
        <w:t xml:space="preserve">preview and the Behandlungsintervall + Responder plots in Verläufe; and in the case view the Anamnese, Befunde, adverse-events, Medikation cards and the OCT-image viewer.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pick</w:t>
      </w:r>
      <w:r>
        <w:t xml:space="preserve"> </w:t>
      </w:r>
      <w:r>
        <w:t xml:space="preserve">“</w:t>
      </w:r>
      <w:r>
        <w:t xml:space="preserve">Dunkel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on a dark OS) → open a case and the Verläufe view: every figure, table, collapsible and the OCT viewer render dark.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(a + b).</w:t>
      </w:r>
    </w:p>
    <w:p>
      <w:pPr>
        <w:pStyle w:val="Heading2"/>
      </w:pPr>
      <w:bookmarkStart w:id="25" w:name="dokumentationsqualität-vollzähligkeit-time-range-filter"/>
      <w:r>
        <w:t xml:space="preserve">Dokumentationsqualität —</w:t>
      </w:r>
      <w:r>
        <w:t xml:space="preserve"> </w:t>
      </w:r>
      <w:r>
        <w:t xml:space="preserve">“</w:t>
      </w:r>
      <w:r>
        <w:t xml:space="preserve">Vollzähligkeit</w:t>
      </w:r>
      <w:r>
        <w:t xml:space="preserve">”</w:t>
      </w:r>
      <w:r>
        <w:t xml:space="preserve"> </w:t>
      </w:r>
      <w:r>
        <w:t xml:space="preserve">time-range filter</w:t>
      </w:r>
      <w:bookmarkEnd w:id="25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 denominator should be adapted to the registered total in the time range.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 (N8):</w:t>
      </w:r>
      <w:r>
        <w:t xml:space="preserve"> </w:t>
      </w:r>
      <w:r>
        <w:t xml:space="preserve">the Vollzähligkeit</w:t>
      </w:r>
      <w:r>
        <w:t xml:space="preserve"> </w:t>
      </w:r>
      <w:r>
        <w:rPr>
          <w:b/>
        </w:rPr>
        <w:t xml:space="preserve">denominator now follows the time-range filter</w:t>
      </w:r>
      <w:r>
        <w:t xml:space="preserve"> </w:t>
      </w:r>
      <w:r>
        <w:t xml:space="preserve">as well — both the patient count and the percentage reflect the selected period (with no filter it stays the full registered total, matching the start page).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Dokumentationsqualität → Zeitraum →</w:t>
      </w:r>
      <w:r>
        <w:t xml:space="preserve"> </w:t>
      </w:r>
      <w:r>
        <w:t xml:space="preserve">“</w:t>
      </w:r>
      <w:r>
        <w:t xml:space="preserve">Letztes Jahr</w:t>
      </w:r>
      <w:r>
        <w:t xml:space="preserve">”</w:t>
      </w:r>
      <w:r>
        <w:t xml:space="preserve">: the count and the % both update to the windowed population.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6" w:name="cohort-overlay-context-selection-new"/>
      <w:r>
        <w:t xml:space="preserve">Cohort overlay — context &amp; selection (new)</w:t>
      </w:r>
      <w:bookmarkEnd w:id="26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Include information on the currently selected cohort in the cohort-overlay view of the patient.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Add the option to select a cohort, containing the patient, for the cohort overlay.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N10 — the active overlay cohort is now named</w:t>
      </w:r>
      <w:r>
        <w:t xml:space="preserve"> </w:t>
      </w:r>
      <w:r>
        <w:t xml:space="preserve">in the patient header (</w:t>
      </w:r>
      <w:r>
        <w:t xml:space="preserve">“</w:t>
      </w:r>
      <w:r>
        <w:t xml:space="preserve">Vergleichskohorte: … (N=…)</w:t>
      </w:r>
      <w:r>
        <w:t xml:space="preserve">”</w:t>
      </w:r>
      <w:r>
        <w:t xml:space="preserve">), so it’s clear which peer group the overlay represents.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N11 — a cohort selector</w:t>
      </w:r>
      <w:r>
        <w:t xml:space="preserve"> </w:t>
      </w:r>
      <w:r>
        <w:t xml:space="preserve">lets you choose which cohort (of those that contain this patient) the overlay compares against; it defaults to all patients.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next to the overlay toggle, the selector lists the patient’s cohorts and the header shows the chosen one’s name + N.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Verified with automated tests (1,323 passing), a clean build / lint / dead-code scan, two independent adversarial code reviews (one on the diagnosis, one on the fixes), and live in-browser checks of every item above — including a deployed production build (single-server) confirming the UI + API serve together. The cohort-overlay distribution comparison is drawn with a lightweight grouped-bar renderer (a charting-library limitation made the native bars unreliable for that specific view); it behaves identically and stays on the shared percentage scale.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2026-06-17T17:38:29Z</dcterms:created>
  <dcterms:modified xsi:type="dcterms:W3CDTF">2026-06-17T17:38:29Z</dcterms:modified>
</cp:coreProperties>
</file>