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Anforderungsabgleich EyeMatics Klinischer Demonstrator (EMD)</w:t>
      </w:r>
    </w:p>
    <w:p>
      <w:r>
        <w:rPr>
          <w:b/>
        </w:rPr>
        <w:t>Stand: 11.04.2026 — Version 3.1</w:t>
      </w:r>
    </w:p>
    <w:p>
      <w:r>
        <w:t>Dieses Dokument stellt den systematischen Abgleich aller Anforderungen aus dem Lastenheft (RE-EM-LH, Kernaufgaben K01–K11) mit dem Pflichtenheft (EMDREQ-*) und dem aktuellen Implementierungsstand des EyeMatics Klinischen Demonstrators (EMD) dar. Die Bewertung basiert auf der tatsächlich implementierten Funktionalität der Web-Anwendung.</w:t>
      </w:r>
    </w:p>
    <w:p>
      <w:pPr>
        <w:pStyle w:val="Heading2"/>
      </w:pPr>
      <w:r>
        <w:t>Legende</w:t>
      </w:r>
    </w:p>
    <w:p>
      <w:r>
        <w:rPr>
          <w:b/>
        </w:rPr>
        <w:t>Umgesetzt</w:t>
      </w:r>
      <w:r>
        <w:t xml:space="preserve">  Anforderung ist vollständig implementiert.</w:t>
      </w:r>
    </w:p>
    <w:p>
      <w:r>
        <w:rPr>
          <w:b/>
        </w:rPr>
        <w:t>Teilweise</w:t>
      </w:r>
      <w:r>
        <w:t xml:space="preserve">  Anforderung ist teilweise implementiert; einzelne Aspekte fehlen.</w:t>
      </w:r>
    </w:p>
    <w:p>
      <w:r>
        <w:rPr>
          <w:b/>
        </w:rPr>
        <w:t>Abweichend</w:t>
      </w:r>
      <w:r>
        <w:t xml:space="preserve">  Implementierung weicht bewusst von der Lastenheft-Spezifikation ab.</w:t>
      </w:r>
    </w:p>
    <w:p>
      <w:r>
        <w:rPr>
          <w:b/>
        </w:rPr>
        <w:t>Nicht umgesetzt</w:t>
      </w:r>
      <w:r>
        <w:t xml:space="preserve">  Anforderung ist nicht implementiert (ggf. außerhalb der Systemgrenze).</w:t>
      </w:r>
    </w:p>
    <w:p>
      <w:pPr>
        <w:pStyle w:val="Heading1"/>
      </w:pPr>
      <w:r>
        <w:t>Anforderungsübersicht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454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Nr</w:t>
            </w:r>
          </w:p>
        </w:tc>
        <w:tc>
          <w:tcPr>
            <w:tcW w:type="dxa" w:w="510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Kat.</w:t>
            </w:r>
          </w:p>
        </w:tc>
        <w:tc>
          <w:tcPr>
            <w:tcW w:type="dxa" w:w="737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LH-ID</w:t>
            </w:r>
          </w:p>
        </w:tc>
        <w:tc>
          <w:tcPr>
            <w:tcW w:type="dxa" w:w="2154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Anforderung</w:t>
            </w:r>
          </w:p>
        </w:tc>
        <w:tc>
          <w:tcPr>
            <w:tcW w:type="dxa" w:w="1587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PH-ID</w:t>
            </w:r>
          </w:p>
        </w:tc>
        <w:tc>
          <w:tcPr>
            <w:tcW w:type="dxa" w:w="680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MoSCoW</w:t>
            </w:r>
          </w:p>
        </w:tc>
        <w:tc>
          <w:tcPr>
            <w:tcW w:type="dxa" w:w="1020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118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Bemerkung</w:t>
            </w:r>
          </w:p>
        </w:tc>
      </w:tr>
      <w:tr>
        <w:tc>
          <w:tcPr>
            <w:tcW w:type="dxa" w:w="3118"/>
            <w:gridSpan w:val="8"/>
            <w:shd w:val="clear" w:color="auto" w:fill="E8E8E8"/>
          </w:tcPr>
          <w:p>
            <w:r/>
            <w:r>
              <w:rPr>
                <w:b/>
                <w:sz w:val="18"/>
              </w:rPr>
              <w:t>K01: Im System anmelden / abmelden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K01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N01.01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Nutzername/Passwort Eingabe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EMDREQ-USM-005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LoginPage mit Username/Password Feldern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K01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N01.02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Nutzername/Passwort Bestätigung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EMDREQ-USM-005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Weiter-Button validiert Eingabe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K01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N01.03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OTP 2-FA Eingabe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EMDREQ-USM-005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OTP-Schritt nach Credentials, abschaltbar via Settings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K01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N01.04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OTP 2-FA Bestätigung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EMDREQ-USM-005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Anmelden-Button prüft OTP-Code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K01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N01.05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Abbruch Anmeldeprozess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EMDREQ-USM-005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Zurück-Button im OTP-Schritt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K01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N01.06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Fehlermeldung bei falschen Daten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EMDREQ-USM-006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Differenzierte Meldungen: Nutzer unbekannt, falsches Passwort, ungültiger OTP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K01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N01.07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Wiederholung bei falschem Passwort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EMDREQ-USM-006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Rückkehr zum Credential-Schritt, max 5 Versuche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K01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N01.08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Wiederholung bei falschem OTP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EMDREQ-USM-006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Sofortige Rückkehr zum Credential-Schritt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K01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N01.09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Anmelde-/Abmeldestatus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EMDREQ-USM-005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Sidebar zeigt Anzeigename (Vor-/Nachname) und Rolle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K01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N01.10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Aktive Abmeldung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EMDREQ-USM-007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Abmelden-Button in Sidebar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K01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N01.11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Auto-Abmeldung bei Inaktivität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EMDREQ-USM-008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10 Min Timeout mit 1-Min Warnung</w:t>
            </w:r>
          </w:p>
        </w:tc>
      </w:tr>
      <w:tr>
        <w:tc>
          <w:tcPr>
            <w:tcW w:type="dxa" w:w="3118"/>
            <w:gridSpan w:val="8"/>
            <w:shd w:val="clear" w:color="auto" w:fill="E8E8E8"/>
          </w:tcPr>
          <w:p>
            <w:r/>
            <w:r>
              <w:rPr>
                <w:b/>
                <w:sz w:val="18"/>
              </w:rPr>
              <w:t>K02: Erzeugen eines Datensatzes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N02.01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Parameter konfigurierbar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EMDREQ-KOH-001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Filter: Diagnose, Geschlecht, Alter, Visus, CRT, Zentrum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N02.02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0-N Kriterien definieren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EMDREQ-KOH-002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Beliebige Kombination von Filtern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N02.03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Fälle nach Kriterien anzeigen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EMDREQ-KOH-003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Gefilterte Fallliste mit Fallzahl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N02.04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Unabhängige Parameter definieren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EMDREQ-KOH-002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FFC000"/>
          </w:tcPr>
          <w:p>
            <w:r/>
            <w:r>
              <w:rPr>
                <w:sz w:val="16"/>
              </w:rPr>
              <w:t>Teilweise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Filterparameter verfügbar, keine explizite Parameterauswahl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N02.05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Abhängige Parameter definieren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EMDREQ-KOH-002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FFC000"/>
          </w:tcPr>
          <w:p>
            <w:r/>
            <w:r>
              <w:rPr>
                <w:sz w:val="16"/>
              </w:rPr>
              <w:t>Teilweise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Filterparameter verfügbar, keine explizite Parameterauswahl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N02.06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Sub-Kohorten anzeigen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EMDREQ-KOH-003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FFC000"/>
          </w:tcPr>
          <w:p>
            <w:r/>
            <w:r>
              <w:rPr>
                <w:sz w:val="16"/>
              </w:rPr>
              <w:t>Teilweise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Filterung nach Zentrum als Sub-Kohorte, keine freie Fraktionierung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N02.07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Verteilung über Zentren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EMDREQ-ANL-001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AnalysisPage: Zentrumsverteilung als Balkendiagramm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N02.08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Messwerte im zeitlichen Verlauf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EMDREQ-ANL-002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Visus/CRT Verlaufsdiagramme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N02.09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Sub-Kohorten parallel im Verlauf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EMDREQ-ANL-002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FFC000"/>
          </w:tcPr>
          <w:p>
            <w:r/>
            <w:r>
              <w:rPr>
                <w:sz w:val="16"/>
              </w:rPr>
              <w:t>Teilweise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Kohortenmittelwert im Einzelfall, keine parallelen Sub-Kohorten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N02.10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Verteilung absoluter Messwerte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EMDREQ-ANL-003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Histogramme für Visus, CRT auf Kohorten- und Einzelfallebene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N02.11a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Absolute Werte in Sub-Kohorten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EMDREQ-ANL-003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FFC000"/>
          </w:tcPr>
          <w:p>
            <w:r/>
            <w:r>
              <w:rPr>
                <w:sz w:val="16"/>
              </w:rPr>
              <w:t>Teilweise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Verteilung pro Zentrum möglich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N02.11b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Absolute Werte über Sub-Kohorten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EMDREQ-ANL-003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FFC000"/>
          </w:tcPr>
          <w:p>
            <w:r/>
            <w:r>
              <w:rPr>
                <w:sz w:val="16"/>
              </w:rPr>
              <w:t>Teilweise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Gesamtverteilung, kein Sub-Kohortenvergleich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N02.12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Relative Messwerte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EMDREQ-ANL-003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Relative Änderung zum Ausgangswert im Einzelfall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N02.13a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Relative Werte in Sub-Kohorten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EMDREQ-ANL-003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FFC000"/>
          </w:tcPr>
          <w:p>
            <w:r/>
            <w:r>
              <w:rPr>
                <w:sz w:val="16"/>
              </w:rPr>
              <w:t>Teilweise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Im Einzelfall verfügbar, nicht als Kohortenvergleich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N02.13b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Relative Werte über Sub-Kohorten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EMDREQ-ANL-003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FFC000"/>
          </w:tcPr>
          <w:p>
            <w:r/>
            <w:r>
              <w:rPr>
                <w:sz w:val="16"/>
              </w:rPr>
              <w:t>Teilweise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Im Einzelfall verfügbar, nicht als Kohortenvergleich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N02.14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Adverse Events / kritische Werte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EMDREQ-ANL-004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Adverse Events im Case Detail, Anomalien in Quality Review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N02.15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Kohorte in Subkohorten aufteilen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EMDREQ-KOH-003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FFC000"/>
          </w:tcPr>
          <w:p>
            <w:r/>
            <w:r>
              <w:rPr>
                <w:sz w:val="16"/>
              </w:rPr>
              <w:t>Teilweise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Filter als Subkohortendefinition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K02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N02.16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Kohorte speichern/benennen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EMDREQ-KOH-004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8DB4E2"/>
          </w:tcPr>
          <w:p>
            <w:r/>
            <w:r>
              <w:rPr>
                <w:sz w:val="16"/>
              </w:rPr>
              <w:t>Abweichend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Suchdefinition gespeichert, nicht Ergebnisdaten</w:t>
            </w:r>
          </w:p>
        </w:tc>
      </w:tr>
      <w:tr>
        <w:tc>
          <w:tcPr>
            <w:tcW w:type="dxa" w:w="3118"/>
            <w:gridSpan w:val="8"/>
            <w:shd w:val="clear" w:color="auto" w:fill="E8E8E8"/>
          </w:tcPr>
          <w:p>
            <w:r/>
            <w:r>
              <w:rPr>
                <w:b/>
                <w:sz w:val="18"/>
              </w:rPr>
              <w:t>K03: Source-Data Verification und Fehlerkennzeichnung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N03.01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Zu prüfende Parameter definieren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Quality Review Parameter-Auswahl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N03.02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Status anzeigen (unvollst./geprüft)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Prüfstatus-Badges pro Fall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N03.03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Vergleich mit Patientenakte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Won't</w:t>
            </w:r>
          </w:p>
        </w:tc>
        <w:tc>
          <w:tcPr>
            <w:tcW w:type="dxa" w:w="1020"/>
            <w:shd w:val="clear" w:color="auto" w:fill="FF6666"/>
          </w:tcPr>
          <w:p>
            <w:r/>
            <w:r>
              <w:rPr>
                <w:sz w:val="16"/>
              </w:rPr>
              <w:t>Nicht 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Zugriff auf identifizierbare Primärdaten nicht vorgesehen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N03.04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Kriterien für Verifikation anzeigen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Plausibilitätskriterien in Quality Review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N03.05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Fälle mit fehlenden Daten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Anomalieerkennung zeigt fehlende Werte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N03.06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Fälle mit unwahrscheinlichen Werten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Plausibilitätsprüfung für Visus, CRT, IOP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N03.07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Fall aus Sub-Kohorte auswählen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Klickbare Fälle in Quality Review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N03.08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Zu prüfende Werte anzeigen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Detailansicht mit allen Messwerten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N03.09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Unwahrscheinliche Werte anzeigen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Farbkodierte Anomaliekennzeichnung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N03.10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Fehler kennzeichnen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Flag-Dialog mit Fehlertyp-Auswahl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N03.11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Prüfungsergebnisse pro Fall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Reviewed/Flagged Status pro Fall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N03.12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Prüfungsergebnisse pro Parameter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Flag-Status pro Parameter angezeigt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N03.13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Art eines Fehlers kennzeichnen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Fehlertyp-Auswahl beim Flaggen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N03.14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Verantwortliche anzeigen (opt.)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Won't</w:t>
            </w:r>
          </w:p>
        </w:tc>
        <w:tc>
          <w:tcPr>
            <w:tcW w:type="dxa" w:w="1020"/>
            <w:shd w:val="clear" w:color="auto" w:fill="FF6666"/>
          </w:tcPr>
          <w:p>
            <w:r/>
            <w:r>
              <w:rPr>
                <w:sz w:val="16"/>
              </w:rPr>
              <w:t>Nicht 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Datenschutzrechtlich nicht vorgesehen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N03.15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Externe Bewertungen (opt.)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Won't</w:t>
            </w:r>
          </w:p>
        </w:tc>
        <w:tc>
          <w:tcPr>
            <w:tcW w:type="dxa" w:w="1020"/>
            <w:shd w:val="clear" w:color="auto" w:fill="FF6666"/>
          </w:tcPr>
          <w:p>
            <w:r/>
            <w:r>
              <w:rPr>
                <w:sz w:val="16"/>
              </w:rPr>
              <w:t>Nicht 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Außerhalb der Systemgrenze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N03.16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Mehrfachbewertungen (opt.)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Won't</w:t>
            </w:r>
          </w:p>
        </w:tc>
        <w:tc>
          <w:tcPr>
            <w:tcW w:type="dxa" w:w="1020"/>
            <w:shd w:val="clear" w:color="auto" w:fill="FF6666"/>
          </w:tcPr>
          <w:p>
            <w:r/>
            <w:r>
              <w:rPr>
                <w:sz w:val="16"/>
              </w:rPr>
              <w:t>Nicht 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Außerhalb der Systemgrenze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N03.17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Einsichten mit Zeitstempel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EMDREQ-PROT-001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8DB4E2"/>
          </w:tcPr>
          <w:p>
            <w:r/>
            <w:r>
              <w:rPr>
                <w:sz w:val="16"/>
              </w:rPr>
              <w:t>Abweichend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Generalisierte Protokollierung via Audit-Log inkl. Settings-Änderungen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K03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N03.18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Datennutzungsprojekt anzeigen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Won't</w:t>
            </w:r>
          </w:p>
        </w:tc>
        <w:tc>
          <w:tcPr>
            <w:tcW w:type="dxa" w:w="1020"/>
            <w:shd w:val="clear" w:color="auto" w:fill="FF6666"/>
          </w:tcPr>
          <w:p>
            <w:r/>
            <w:r>
              <w:rPr>
                <w:sz w:val="16"/>
              </w:rPr>
              <w:t>Nicht 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Außerhalb der Systemgrenze</w:t>
            </w:r>
          </w:p>
        </w:tc>
      </w:tr>
      <w:tr>
        <w:tc>
          <w:tcPr>
            <w:tcW w:type="dxa" w:w="3118"/>
            <w:gridSpan w:val="8"/>
            <w:shd w:val="clear" w:color="auto" w:fill="E8E8E8"/>
          </w:tcPr>
          <w:p>
            <w:r/>
            <w:r>
              <w:rPr>
                <w:b/>
                <w:sz w:val="18"/>
              </w:rPr>
              <w:t>K04: Fehlerbehandlung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K04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N04.01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Status Fehlerbehandlung pro Fall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EMDREQ-QUAL-007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Flag-Status und Reviewed-Status pro Fall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K04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N04.02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Status für falschen Parameter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EMDREQ-QUAL-007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Parameter-spezifische Fehlermarkierung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K04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N04.04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Fall/Parameter ausschließen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EMDREQ-QUAL-008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Exclude/Include-Funktion für Fälle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K04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N04.05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Änderungsverläufe anzeigen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Won't</w:t>
            </w:r>
          </w:p>
        </w:tc>
        <w:tc>
          <w:tcPr>
            <w:tcW w:type="dxa" w:w="1020"/>
            <w:shd w:val="clear" w:color="auto" w:fill="FF6666"/>
          </w:tcPr>
          <w:p>
            <w:r/>
            <w:r>
              <w:rPr>
                <w:sz w:val="16"/>
              </w:rPr>
              <w:t>Nicht 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Nicht sinnvoll bei nicht-manipulativer Nutzung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K04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N04.06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Eingaben mit Zeitstempel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Won't</w:t>
            </w:r>
          </w:p>
        </w:tc>
        <w:tc>
          <w:tcPr>
            <w:tcW w:type="dxa" w:w="1020"/>
            <w:shd w:val="clear" w:color="auto" w:fill="FF6666"/>
          </w:tcPr>
          <w:p>
            <w:r/>
            <w:r>
              <w:rPr>
                <w:sz w:val="16"/>
              </w:rPr>
              <w:t>Nicht 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Keine Rückschreibung ins Primärsystem</w:t>
            </w:r>
          </w:p>
        </w:tc>
      </w:tr>
      <w:tr>
        <w:tc>
          <w:tcPr>
            <w:tcW w:type="dxa" w:w="3118"/>
            <w:gridSpan w:val="8"/>
            <w:shd w:val="clear" w:color="auto" w:fill="E8E8E8"/>
          </w:tcPr>
          <w:p>
            <w:r/>
            <w:r>
              <w:rPr>
                <w:b/>
                <w:sz w:val="18"/>
              </w:rPr>
              <w:t>K05: Betrachtung der Untersuchungs- und Therapiemaßnahmen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N05.01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Pseudonymisierung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8DB4E2"/>
          </w:tcPr>
          <w:p>
            <w:r/>
            <w:r>
              <w:rPr>
                <w:sz w:val="16"/>
              </w:rPr>
              <w:t>Abweichend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Alle Daten pseudonym, keine Reidentifikation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N05.02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Starke Abweichungen kennzeichnen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Should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Anomalieerkennung und Farbkodierung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N05.03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Fall aus Kohorte auswählen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Klickbare Patientenzeilen → CaseDetailPage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N05.04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Injektionszeitpunkte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Injektions-Timeline im Case Detail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N05.05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Arzneimittel/Dosierung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Medikationshistorie mit Präparatnamen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N05.06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Augeninnendruck/Messmethode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IOP-Werte mit Messmethode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N05.07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Visus/Art/Korrektur/Messmethode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BCVA/UCVA und Korrekturtyp angezeigt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N05.08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Anamnese anzeigen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Ophthalmologische/nicht-ophthalmologische Anamnese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N05.09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Refraktionswerte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Sphäre, Zylinder, Achse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N05.10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Lateralität (links/rechts)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OD/OS Zuordnung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N05.11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Prozeduren anzeigen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Injektionsverfahren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N05.12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Behandlungsschema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Injektions-Timeline mit Medikation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N05.13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Behandlungsindikation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Diagnose-Badges mit ICD-10 Tooltips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N05.14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Präparat inkl. Handelsname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Eylea, Lucentis, Beovu, Vabysmo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N05.15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Befunde vorderer/hinterer Abschnitt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Segment-Findings Abschnitt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N05.16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Diabetesspezifische Werte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HbA1c Anzeige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N05.17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Verlaufsdokumentation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Zeitliche Verlaufsdiagramme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N05.18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Daten interpolieren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Liniendiagramm mit Interpolation; interpolierte Segmente visuell gekennzeichnet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N05.19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Interpolierte Daten kennzeichnen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Gemessene Werte als gefüllte Kreise, interpolierte als leere Kreise mit gestricheltem Rand; Hinweistext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N05.20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Interpolierte Daten im Verlauf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Verlauf mit expliziter Kennzeichnung interpolierter Punkte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N05.21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Therapieschema anzeigen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Injektions-Timeline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N05.22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Präparat-Wechsel anzeigen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Drug-Switch Marker in Timeline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N05.23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Vergleich mit Kohortenwerten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Kohortenmittelwert als gestrichelte Linie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N05.24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Metrische Parameter im Verlauf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Visus, CRT, IOP im Zeitverlauf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N05.25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Injektionsgabe im Verlauf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Injektions-Timeline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N05.26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Absolute Messwerte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Einzelwert-Anzeige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N05.27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Relative Veränderungen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Relative Change from Baseline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N05.28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Kritische Werte erkennen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Should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Anomalieerkennung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N05.29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Adverse Events anzeigen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Should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Adverse Events Abschnitt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N05.30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Aggregierte Darstellung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Zusammenfassende Metriken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N05.31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Verteilung absoluter Werte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Histogramme für Visus (5 Bins) und CRT (6 Bins) pro Patient im Case Detail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N05.32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Verteilung relativer Werte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Relative Änderung als Verlaufsdiagramm; Histogramm-Verteilungen verfügbar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N05.33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Anzahl krit. Wertüberschreitungen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Should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Exakte Zählung: N× CRT &gt; 400 µm, N× Visus &lt; 0.1, N× IOD &gt; 21 mmHg im Header-Badge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N05.34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Anzahl Adverse Events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Should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AE-Anzahl im Case Detail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N05.35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Zusammenhänge zwischen Parametern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Dual-Axis Chart (Visus/CRT), Alter-Visus Scatter (Kohorte), Visus-vs-CRT Scatter (Einzelfall)</w:t>
            </w:r>
          </w:p>
        </w:tc>
      </w:tr>
      <w:tr>
        <w:tc>
          <w:tcPr>
            <w:tcW w:type="dxa" w:w="3118"/>
            <w:gridSpan w:val="8"/>
            <w:shd w:val="clear" w:color="auto" w:fill="E8E8E8"/>
          </w:tcPr>
          <w:p>
            <w:r/>
            <w:r>
              <w:rPr>
                <w:b/>
                <w:sz w:val="18"/>
              </w:rPr>
              <w:t>K06: Kennzeichnung Therapieabbrecher/-unterbrecher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K06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N06.01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Zeit t Therapieunterbrecher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EMDREQ-QUAL-009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Konfigurierbar in Settings (default 120 Tage), in settings.yaml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K06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N06.02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Fälle kennzeichnen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EMDREQ-QUAL-009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Automatische Kennzeichnung in Quality Review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K06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N06.03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Nach Abbrechern filtern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EMDREQ-QUAL-010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Filterkategorie in Quality Review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K06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N06.04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Zeit t' Therapieabbrecher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EMDREQ-QUAL-009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Konfigurierbar in Settings (default 365 Tage), in settings.yaml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K06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N06.05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Alle Abbrecher anzeigen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EMDREQ-QUAL-010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Gesamtliste in Quality Review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K06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N06.06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Abbruch/Unterbrechung eindeutig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EMDREQ-QUAL-009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Farbkodierte Badges (rot/gelb)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K06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N06.07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Kriterium anzeigen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EMDREQ-QUAL-009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Schwellenwert in Tagen angezeigt</w:t>
            </w:r>
          </w:p>
        </w:tc>
      </w:tr>
      <w:tr>
        <w:tc>
          <w:tcPr>
            <w:tcW w:type="dxa" w:w="3118"/>
            <w:gridSpan w:val="8"/>
            <w:shd w:val="clear" w:color="auto" w:fill="E8E8E8"/>
          </w:tcPr>
          <w:p>
            <w:r/>
            <w:r>
              <w:rPr>
                <w:b/>
                <w:sz w:val="18"/>
              </w:rPr>
              <w:t>K07: Benchmarking der Dokumentationsqualität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K07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N07.01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Zentrum auswählen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EMDREQ-QUAL-011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Should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Zentrumsauswahl in DocQualityPage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K07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N07.02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Zeitraum auswählen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EMDREQ-QUAL-011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Should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Zeitraumfilter (6M/1J/Gesamt)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K07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N07.03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Qualität des Zentrums anzeigen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EMDREQ-QUAL-011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Should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Vollzähligkeit, Vollständigkeit, Plausibilität, Gesamt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K07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N07.04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SDV-Stichproben anzeigen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Won't</w:t>
            </w:r>
          </w:p>
        </w:tc>
        <w:tc>
          <w:tcPr>
            <w:tcW w:type="dxa" w:w="1020"/>
            <w:shd w:val="clear" w:color="auto" w:fill="FF6666"/>
          </w:tcPr>
          <w:p>
            <w:r/>
            <w:r>
              <w:rPr>
                <w:sz w:val="16"/>
              </w:rPr>
              <w:t>Nicht 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Setzt identifizierbare Primärdaten voraus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K07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N07.05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Qualität aller Zentren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EMDREQ-QUAL-011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Should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Vergleichs-Balkendiagramm und Tabelle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K07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N07.06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Aktualisierungsfrequenz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EMDREQ-DAT-004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8DB4E2"/>
          </w:tcPr>
          <w:p>
            <w:r/>
            <w:r>
              <w:rPr>
                <w:sz w:val="16"/>
              </w:rPr>
              <w:t>Abweichend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Letzte Aktualisierung auf Landing Page, keine Frequenz</w:t>
            </w:r>
          </w:p>
        </w:tc>
      </w:tr>
      <w:tr>
        <w:tc>
          <w:tcPr>
            <w:tcW w:type="dxa" w:w="3118"/>
            <w:gridSpan w:val="8"/>
            <w:shd w:val="clear" w:color="auto" w:fill="E8E8E8"/>
          </w:tcPr>
          <w:p>
            <w:r/>
            <w:r>
              <w:rPr>
                <w:b/>
                <w:sz w:val="18"/>
              </w:rPr>
              <w:t>K08: Download eines Datensatzes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K08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N08.01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Datensatz downloaden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EMDREQ-KOH-007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Could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CSV-Export in Quality Review; CSV und JSON Export im Cohort Builder</w:t>
            </w:r>
          </w:p>
        </w:tc>
      </w:tr>
      <w:tr>
        <w:tc>
          <w:tcPr>
            <w:tcW w:type="dxa" w:w="3118"/>
            <w:gridSpan w:val="8"/>
            <w:shd w:val="clear" w:color="auto" w:fill="E8E8E8"/>
          </w:tcPr>
          <w:p>
            <w:r/>
            <w:r>
              <w:rPr>
                <w:b/>
                <w:sz w:val="18"/>
              </w:rPr>
              <w:t>K09: Anzeige der Suchhistorie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K09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N09.01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Vorherige Suche auswählen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EMDREQ-KOH-005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Saved Searches Panel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K09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N09.02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Nach Datum/Name sortieren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EMDREQ-KOH-005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Sortierbare Suchliste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K09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N09.03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Suche neu ausführen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EMDREQ-KOH-006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Klick lädt Filter und führt aus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K09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N09.04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Persistierte Version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EMDREQ-KOH-006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8DB4E2"/>
          </w:tcPr>
          <w:p>
            <w:r/>
            <w:r>
              <w:rPr>
                <w:sz w:val="16"/>
              </w:rPr>
              <w:t>Abweichend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Nur Suchdefinition, keine Datenkopie</w:t>
            </w:r>
          </w:p>
        </w:tc>
      </w:tr>
      <w:tr>
        <w:tc>
          <w:tcPr>
            <w:tcW w:type="dxa" w:w="3118"/>
            <w:gridSpan w:val="8"/>
            <w:shd w:val="clear" w:color="auto" w:fill="E8E8E8"/>
          </w:tcPr>
          <w:p>
            <w:r/>
            <w:r>
              <w:rPr>
                <w:b/>
                <w:sz w:val="18"/>
              </w:rPr>
              <w:t>K10: Nutzer*in hinzufügen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K10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N10.01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Rollen verwalten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EMDREQ-USM-004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6 Rollen: Admin, Forscher, Epidemiologe, Kliniker, DIZ Data Manager, Klinikleitung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K10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N10.02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Zentren zuweisen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EMDREQ-USM-004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Multi-Center Toggle-Buttons (UKA/UKB/LMU/UKT/UKM)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K10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N10.03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Anmeldename/Passwort zuweisen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EMDREQ-USM-003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Eindeutige Benutzerkennung bei Anlage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109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K10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N10.04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Nutzer anlegen/speichern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EMDREQ-USM-001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Create/Delete in AdminPage, persistiert in localStorage</w:t>
            </w:r>
          </w:p>
        </w:tc>
      </w:tr>
      <w:tr>
        <w:tc>
          <w:tcPr>
            <w:tcW w:type="dxa" w:w="3118"/>
            <w:gridSpan w:val="8"/>
            <w:shd w:val="clear" w:color="auto" w:fill="E8E8E8"/>
          </w:tcPr>
          <w:p>
            <w:r/>
            <w:r>
              <w:rPr>
                <w:b/>
                <w:sz w:val="18"/>
              </w:rPr>
              <w:t>K11: Informationen über Datengrundlage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110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K11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N11.01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Zentren auf Landing Page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EMDREQ-DAT-002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Name, Standort, Kürzel, Nutzerzahl, letzte Aktualisierung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111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K11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N11.02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Patienten je Zentrum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EMDREQ-DAT-003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8DB4E2"/>
          </w:tcPr>
          <w:p>
            <w:r/>
            <w:r>
              <w:rPr>
                <w:sz w:val="16"/>
              </w:rPr>
              <w:t>Abweichend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Pseudonyme Fallzahl angezeigt, Gesamtzahl nicht über DSF verfügbar</w:t>
            </w:r>
          </w:p>
        </w:tc>
      </w:tr>
      <w:tr>
        <w:tc>
          <w:tcPr>
            <w:tcW w:type="dxa" w:w="3118"/>
            <w:gridSpan w:val="8"/>
            <w:shd w:val="clear" w:color="auto" w:fill="E8E8E8"/>
          </w:tcPr>
          <w:p>
            <w:r/>
            <w:r>
              <w:rPr>
                <w:b/>
                <w:sz w:val="18"/>
              </w:rPr>
              <w:t>Protokollierung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112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Prot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N03.17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Protokollierung Zugriffe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EMDREQ-PROT-001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Audit-Log mit Zeitstempel, Nutzer, Aktion, Detail; CSV-Export; Einstellungsänderungen protokolliert</w:t>
            </w:r>
          </w:p>
        </w:tc>
      </w:tr>
    </w:tbl>
    <w:p>
      <w:pPr>
        <w:pStyle w:val="Heading1"/>
      </w:pPr>
      <w:r>
        <w:t>Zusätzliche implementierte Features (über Lastenheft hinaus)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454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Nr</w:t>
            </w:r>
          </w:p>
        </w:tc>
        <w:tc>
          <w:tcPr>
            <w:tcW w:type="dxa" w:w="510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Kat.</w:t>
            </w:r>
          </w:p>
        </w:tc>
        <w:tc>
          <w:tcPr>
            <w:tcW w:type="dxa" w:w="737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LH-ID</w:t>
            </w:r>
          </w:p>
        </w:tc>
        <w:tc>
          <w:tcPr>
            <w:tcW w:type="dxa" w:w="2154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Anforderung</w:t>
            </w:r>
          </w:p>
        </w:tc>
        <w:tc>
          <w:tcPr>
            <w:tcW w:type="dxa" w:w="1587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PH-ID</w:t>
            </w:r>
          </w:p>
        </w:tc>
        <w:tc>
          <w:tcPr>
            <w:tcW w:type="dxa" w:w="680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MoSCoW</w:t>
            </w:r>
          </w:p>
        </w:tc>
        <w:tc>
          <w:tcPr>
            <w:tcW w:type="dxa" w:w="1020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118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Bemerkung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113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Zusatz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2FA abschaltbar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Two-Factor Authentication kann in Settings deaktiviert werden; Änderungen werden im Audit-Log protokolliert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114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Zusatz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Einstellungen als YAML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Konfiguration in settings.yaml, YAML-Export aus Settings-Seite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115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Zusatz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Datenabstraktionsschicht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Datenquelle wählbar: lokale JSON-Dateien oder Blaze FHIR Server; Wechsel wird im Audit-Log protokolliert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116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Zusatz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ICD-10 Tooltips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Mouseover mit ausgeschriebener Diagnose bei allen ICD-10 Codes und Diagnose-Kuchenstücken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117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Zusatz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OCT-Bildbetrachter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Retina-Bildansicht mit Vergleichsmodus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118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Zusatz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Internationalisierung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Vollständig zweisprachig (Deutsch/Englisch)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119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Zusatz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Blaze FHIR Server Script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Automatisiertes Setup-Script für Blaze Docker-Container mit Docker-Daemon-Prüfung</w:t>
            </w:r>
          </w:p>
        </w:tc>
      </w:tr>
    </w:tbl>
    <w:p>
      <w:pPr>
        <w:pStyle w:val="Heading1"/>
      </w:pPr>
      <w:r>
        <w:t>Heute durch Prompting hinzugefügte Features (09.04.2026)</w:t>
      </w:r>
    </w:p>
    <w:p>
      <w:r>
        <w:t>Die folgenden Features wurden im Rahmen der heutigen Entwicklungssitzung durch AI-gestütztes Prompting (Claude Code) hinzugefügt. Diese Features sind weder im Lastenheft (RE-EM-LH) noch im Pflichtenheft (EMDREQ-*) spezifiziert und stellen zusätzliche Funktionalitäten dar, die den Demonstrator über die definierten Anforderungen hinaus verbessern.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454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Nr</w:t>
            </w:r>
          </w:p>
        </w:tc>
        <w:tc>
          <w:tcPr>
            <w:tcW w:type="dxa" w:w="510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Kat.</w:t>
            </w:r>
          </w:p>
        </w:tc>
        <w:tc>
          <w:tcPr>
            <w:tcW w:type="dxa" w:w="737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LH-ID</w:t>
            </w:r>
          </w:p>
        </w:tc>
        <w:tc>
          <w:tcPr>
            <w:tcW w:type="dxa" w:w="2154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Anforderung</w:t>
            </w:r>
          </w:p>
        </w:tc>
        <w:tc>
          <w:tcPr>
            <w:tcW w:type="dxa" w:w="1587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PH-ID</w:t>
            </w:r>
          </w:p>
        </w:tc>
        <w:tc>
          <w:tcPr>
            <w:tcW w:type="dxa" w:w="680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MoSCoW</w:t>
            </w:r>
          </w:p>
        </w:tc>
        <w:tc>
          <w:tcPr>
            <w:tcW w:type="dxa" w:w="1020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118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Bemerkung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120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Prompt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Issue-Reporting mit Screenshot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Seitenübergreifender Feedback-Button mit automatischer Screenshot-Erfassung via html2canvas. Serverseitige JSON-Speicherung in feedback/. REST-API und Export via Settings-Seite.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121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Prompt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CSV-Export Datenqualität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Export der Quality-Review-Ergebnisse als CSV-Datei aus der QualityPage.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122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Prompt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Anzeigenamen für Nutzer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displayName im AuthContext: zeigt "Vorname Nachname (username)" in Sidebar und Landing Page.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123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Prompt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Audit-Log für Settings-Änderungen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Neue Audit-Aktion change_setting protokolliert 2FA- und Datenquellen-Änderungen.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124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Prompt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Datenquelle Live-Wechsel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reloadData() im DataContext ermöglicht Neuladen nach Datenquellenwechsel ohne Browser-Reload.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125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Prompt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Blaze FHIR CORS-Proxy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Vite-Server-Proxy und proxyUrl() umgehen CORS-Beschränkungen beim Blaze-Zugriff.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126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Prompt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Diagnose-Tooltip im Kuchendiagramm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Custom Tooltip zeigt vollständige Diagnosebeschreibung inkl. SNOMED-Code.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127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Prompt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Alter-vs-Visus Scatter Plot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Streudiagramm auf Kohortenebene (AnalysisPage).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128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Prompt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MIT-Lizenz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LICENSE-Datei (MIT). Lizenzfeld in package.json.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129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Prompt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Distributable Package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tar.gz-Archiv für einfache Weitergabe.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130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Prompt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N05.33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Kritische Überschreitungen zählen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Should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Exakte Zählung: N× CRT &gt; 400 µm, N× Visus &lt; 0.1, N× IOD &gt; 21 mmHg als Badge im Case Detail Header.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131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Prompt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N05.19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Interpolierte Daten kennzeichnen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Gemessene Werte = gefüllte Kreise, interpolierte = leere Kreise mit gestricheltem Rand. Hinweistext.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132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Prompt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N05.31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Visus-Histogramm pro Patient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Histogramm mit 5 Bins (0–0.2 bis 0.8–1.0) im Case Detail.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133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Prompt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N05.32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CRT-Histogramm pro Patient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EMDREQ-FALL-004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Histogramm mit 6 Bins (&lt;200 bis &gt;400), kritischer Bereich rot eingefärbt.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134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Prompt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N05.35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Visus-vs-CRT Scatter (Einzelfall)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EMDREQ-FALL-003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Must</w:t>
            </w:r>
          </w:p>
        </w:tc>
        <w:tc>
          <w:tcPr>
            <w:tcW w:type="dxa" w:w="1020"/>
            <w:shd w:val="clear" w:color="auto" w:fill="92D050"/>
          </w:tcPr>
          <w:p>
            <w:r/>
            <w:r>
              <w:rPr>
                <w:sz w:val="16"/>
              </w:rPr>
              <w:t>Umgesetzt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Scatter Plot auf Patientenebene: Visus (X) vs. CRT (Y) pro Messzeitpunkt mit Datum-Tooltip.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135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Server-backed JWT Auth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AuthContext → POST /api/auth/login + /api/auth/verify. JWT in sessionStorage. Keine Credentials im Client-Bundle.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136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Frontend-Backend DataContext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DataContext lädt von /api/data/*. localStorage entfernt.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137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Server-side Audit (immutable)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AuditPage → GET /api/audit (SQLite). auditService.ts entfernt.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138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AdminPage Server-CRUD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GET/POST/DELETE /api/auth/users. Server generiert Passwort.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139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FHIR-Daten via Server-API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fhirLoader → /api/fhir/bundles. Center-Filterung serverseitig.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140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settings.yaml Sicherheit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Nach config/ verschoben. OTP nicht mehr statisch abrufbar.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141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FHIR-Daten Zugangsschutz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/data/* in Production blockiert. Nur /api/fhir/bundles.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142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FHIR-Proxy unter Auth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/fhir → /api/fhir-proxy mit authMiddleware.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143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Konfigurierbare Zentren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data/centers.json statt hardcoded.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144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Konsolidierte Auth-Header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Einzelne getAuthHeaders(). 3 Duplikate entfernt.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145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Center-Validierung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excluded/reviewed-cases prüfen Center-Zugehörigkeit.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18"/>
              </w:rPr>
              <w:t>146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npm start Script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pPr/>
            <w:r>
              <w:rPr>
                <w:sz w:val="18"/>
              </w:rPr>
              <w:t>"start": "node --import tsx server/index.ts".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HTTP Security Headers (helmet)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CSP, HSTS, X-Frame-Options, X-Content-Type-Options via helmet middleware.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Audit auto-scoped nach Rolle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Nicht-Admins sehen nur eigene Audit-Eintraege. Admins sehen alle.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FHIR-Proxy admin-only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/api/fhir-proxy nur fuer Administratoren. Verhindert Zentren-Bypass.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Strikte Case-ID Validierung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Unbekannte Case-IDs bei Schreiboperationen abgelehnt (H-10).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Async bcrypt (nicht-blockierend)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bcrypt.compare/hash async. Event Loop nicht mehr blockiert.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152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Audit Body-Erfassung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readBody() setzt _capturedBody fuer Audit-Protokollierung von Mutationen.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Global 401 Interceptor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authFetch() leitet bei abgelaufenem JWT automatisch zur Login-Seite.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Express Router Refactoring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issueApi + settingsApi von duplizierten Handlern zu Express Router mit geteilter Kernlogik.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QualityFlag ID Persistenz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QualityFlag-Typ mit optionalem id-Feld. Server-UUIDs bleiben erhalten.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Zentren-API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Umgesetzt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/api/fhir/centers liefert Zentrenliste. Client laedt Kurzbezeichnungen vom Server.</w:t>
            </w:r>
          </w:p>
        </w:tc>
      </w:tr>
    </w:tbl>
    <w:p>
      <w:pPr>
        <w:pStyle w:val="Heading1"/>
      </w:pPr>
      <w:r>
        <w:t>Zusammenfassung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Anzahl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Anteil</w:t>
            </w:r>
          </w:p>
        </w:tc>
      </w:tr>
      <w:tr>
        <w:tc>
          <w:tcPr>
            <w:tcW w:type="dxa" w:w="2880"/>
            <w:shd w:val="clear" w:color="auto" w:fill="92D050"/>
          </w:tcPr>
          <w:p>
            <w:r>
              <w:rPr>
                <w:sz w:val="18"/>
              </w:rPr>
              <w:t>Umgesetzt</w:t>
            </w:r>
          </w:p>
        </w:tc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87%</w:t>
            </w:r>
          </w:p>
        </w:tc>
      </w:tr>
      <w:tr>
        <w:tc>
          <w:tcPr>
            <w:tcW w:type="dxa" w:w="2880"/>
            <w:shd w:val="clear" w:color="auto" w:fill="FFC000"/>
          </w:tcPr>
          <w:p>
            <w:r>
              <w:rPr>
                <w:sz w:val="18"/>
              </w:rPr>
              <w:t>Teilweise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  <w:shd w:val="clear" w:color="auto" w:fill="8DB4E2"/>
          </w:tcPr>
          <w:p>
            <w:r>
              <w:rPr>
                <w:sz w:val="18"/>
              </w:rPr>
              <w:t>Abweichend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3%</w:t>
            </w:r>
          </w:p>
        </w:tc>
      </w:tr>
      <w:tr>
        <w:tc>
          <w:tcPr>
            <w:tcW w:type="dxa" w:w="2880"/>
            <w:shd w:val="clear" w:color="auto" w:fill="FF6666"/>
          </w:tcPr>
          <w:p>
            <w:r>
              <w:rPr>
                <w:sz w:val="18"/>
              </w:rPr>
              <w:t>Nicht umgesetzt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Gesamt (Lastenheft)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>
        <w:t>Zusätzlich wurden 7 Features implementiert, die über die Lastenheft-Anforderungen hinausgehen. Darüber hinaus wurden heute 15 weitere Features durch AI-gestütztes Prompting hinzugefügt, davon 5 zur Schließung offener Lastenheft-Anforderungen (N05.19, N05.31, N05.32, N05.33, N05.35). Im Rahmen von v1.1 wurden 22 weitere Features zur Frontend-Backend-Integration, Sicherheitshärtung und Architektur-Refactoring hinzugefügt (Nr. 135–156).</w:t>
      </w:r>
    </w:p>
    <w:p>
      <w:r>
        <w:t>Von den 8 nicht umgesetzten Anforderungen liegen 6 bewusst außerhalb der Systemgrenze des Demonstrators (Won't).</w:t>
      </w:r>
    </w:p>
    <w:p>
      <w:pPr>
        <w:pStyle w:val="Heading2"/>
      </w:pPr>
      <w:r>
        <w:t>Änderungen gegenüber Version 2.1</w:t>
      </w:r>
    </w:p>
    <w:p>
      <w:r>
        <w:rPr>
          <w:b/>
        </w:rPr>
        <w:t>Folgende Anforderungen wurden von v2.1 → v2.2 neu umgesetzt:</w:t>
      </w:r>
    </w:p>
    <w:p>
      <w:pPr>
        <w:pStyle w:val="ListBullet"/>
      </w:pPr>
      <w:r>
        <w:t>N05.19 (Must): Interpolierte Daten kennzeichnen — von „Nicht umgesetzt" → „Umgesetzt"</w:t>
      </w:r>
    </w:p>
    <w:p>
      <w:pPr>
        <w:pStyle w:val="ListBullet"/>
      </w:pPr>
      <w:r>
        <w:t>N05.18 (Must): Daten interpolieren — von „Teilweise" → „Umgesetzt"</w:t>
      </w:r>
    </w:p>
    <w:p>
      <w:pPr>
        <w:pStyle w:val="ListBullet"/>
      </w:pPr>
      <w:r>
        <w:t>N05.20 (Must): Interpolierte Daten im Verlauf — von „Teilweise" → „Umgesetzt"</w:t>
      </w:r>
    </w:p>
    <w:p>
      <w:pPr>
        <w:pStyle w:val="ListBullet"/>
      </w:pPr>
      <w:r>
        <w:t>N05.31 (Must): Verteilung absoluter Werte — von „Teilweise" → „Umgesetzt"</w:t>
      </w:r>
    </w:p>
    <w:p>
      <w:pPr>
        <w:pStyle w:val="ListBullet"/>
      </w:pPr>
      <w:r>
        <w:t>N05.32 (Must): Verteilung relativer Werte — von „Teilweise" → „Umgesetzt"</w:t>
      </w:r>
    </w:p>
    <w:p>
      <w:pPr>
        <w:pStyle w:val="ListBullet"/>
      </w:pPr>
      <w:r>
        <w:t>N05.33 (Should): Anzahl krit. Wertüberschreitungen — von „Teilweise" → „Umgesetzt"</w:t>
      </w:r>
    </w:p>
    <w:p>
      <w:pPr>
        <w:pStyle w:val="ListBullet"/>
      </w:pPr>
      <w:r>
        <w:t>N05.35 (Must): Zusammenhänge zwischen Parametern — von „Teilweise" → „Umgesetzt"</w:t>
      </w:r>
    </w:p>
    <w:p/>
    <w:p>
      <w:r>
        <w:rPr>
          <w:b/>
          <w:sz w:val="22"/>
        </w:rPr>
        <w:t>Änderungen in Version 3.0 (v1.1 Frontend-Backend Integration, 11.04.2026)</w:t>
      </w:r>
    </w:p>
    <w:p>
      <w:pPr>
        <w:pStyle w:val="ListBullet"/>
      </w:pPr>
      <w:r>
        <w:t>Nr. 135–146: 12 neue v1.1 Features (Server-Auth, DataContext, Audit, Admin, FHIR, Security)</w:t>
      </w:r>
    </w:p>
    <w:p>
      <w:pPr>
        <w:pStyle w:val="ListBullet"/>
      </w:pPr>
      <w:r>
        <w:t>Login (K01): Jetzt serverseitige JWT-Authentifizierung via POST /api/auth/login</w:t>
      </w:r>
    </w:p>
    <w:p>
      <w:pPr>
        <w:pStyle w:val="ListBullet"/>
      </w:pPr>
      <w:r>
        <w:t>Audit: Client-seitige localStorage-Implementierung durch serverseitige SQLite (auditMiddleware) ersetzt</w:t>
      </w:r>
    </w:p>
    <w:p>
      <w:pPr>
        <w:pStyle w:val="ListBullet"/>
      </w:pPr>
      <w:r>
        <w:t>settings.yaml nach config/ verschoben (nicht mehr im Webroot abrufbar)</w:t>
      </w:r>
    </w:p>
    <w:p>
      <w:pPr>
        <w:pStyle w:val="ListBullet"/>
      </w:pPr>
      <w:r>
        <w:t>FHIR-Daten nur über authentifizierten API-Endpunkt zugänglich</w:t>
      </w:r>
    </w:p>
    <w:p>
      <w:pPr>
        <w:pStyle w:val="ListBullet"/>
      </w:pPr>
      <w:r>
        <w:t>Center-Liste konfigurierbar über data/centers.json</w:t>
      </w:r>
    </w:p>
    <w:p>
      <w:pPr>
        <w:pStyle w:val="ListBullet"/>
      </w:pPr>
      <w:r>
        <w:t>Zusammenfassung: 101 umgesetzt (85%), 8 teilweise, 3 abweichend, 6 nicht umgesetzt</w:t>
      </w:r>
    </w:p>
    <w:p/>
    <w:p>
      <w:r>
        <w:rPr>
          <w:b/>
          <w:sz w:val="22"/>
        </w:rPr>
        <w:t>Änderungen in Version 3.1 (Security Review Fixes, 11.04.2026)</w:t>
      </w:r>
    </w:p>
    <w:p>
      <w:pPr>
        <w:pStyle w:val="ListBullet"/>
      </w:pPr>
      <w:r>
        <w:t>Nr. 147–156: 10 weitere Security-Review-Fixes (helmet, Audit-Scoping, FHIR-Proxy, bcrypt async, etc.)</w:t>
      </w:r>
    </w:p>
    <w:p>
      <w:pPr>
        <w:pStyle w:val="ListBullet"/>
      </w:pPr>
      <w:r>
        <w:t>Zusammenfassung: 111 umgesetzt (87%), 8 teilweise, 3 abweichend, 6 nicht umgesetzt</w:t>
      </w:r>
    </w:p>
    <w:p>
      <w:pPr>
        <w:pStyle w:val="ListBullet"/>
      </w:pPr>
      <w:r>
        <w:t>Express Router Refactoring: Code-Duplizierung zwischen Produktion und Entwicklung eliminiert</w:t>
      </w:r>
    </w:p>
    <w:p>
      <w:pPr>
        <w:pStyle w:val="ListBullet"/>
      </w:pPr>
      <w:r>
        <w:t>Zentren-API: GET /api/fhir/centers — Client laedt Kurzbezeichnungen vom Server statt hardcoded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