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EMD v1.14 — Developer Response to UAT (NF re-test)</w:t>
      </w:r>
    </w:p>
    <w:p>
      <w:pPr>
        <w:spacing w:after="120"/>
      </w:pPr>
      <w:r>
        <w:rPr>
          <w:color w:val="595959"/>
        </w:rPr>
        <w:t xml:space="preserve">In response to EMD-v1.13-UAT-User-Response_2026-06-15. Per issue: what you reported on re-test, what changed, how to verify, and status.</w:t>
      </w:r>
    </w:p>
    <w:p>
      <w:pPr>
        <w:spacing w:after="120"/>
      </w:pPr>
      <w:r>
        <w:rPr>
          <w:b/>
          <w:bCs/>
        </w:rPr>
        <w:t xml:space="preserve">Legend: </w:t>
      </w:r>
      <w:r>
        <w:t xml:space="preserve">✅ Fixed   ·   🟡 Partially fixed (rest in Backlog)   ·   ⚪ Decision / out of scope</w:t>
      </w:r>
    </w:p>
    <w:p>
      <w:pPr>
        <w:spacing w:after="120"/>
      </w:pPr>
      <w:r>
        <w:rPr>
          <w:i/>
          <w:iCs/>
          <w:color w:val="595959"/>
        </w:rPr>
        <w:t xml:space="preserve">Previously-confirmed items stay closed and are not repeated — see “Still closed” at the end. This document covers the items you raised re-testing v1.13.</w:t>
      </w:r>
    </w:p>
    <w:p>
      <w:pPr>
        <w:pStyle w:val="Heading2"/>
      </w:pPr>
      <w:r>
        <w:t xml:space="preserve">I1 — Trajectory hover &amp; drill-down (FALL-010 / A1 follow-up)</w:t>
      </w:r>
    </w:p>
    <w:p>
      <w:pPr>
        <w:spacing w:after="120"/>
      </w:pPr>
      <w:r>
        <w:rPr>
          <w:b/>
          <w:bCs/>
        </w:rPr>
        <w:t xml:space="preserve">You wrote:</w:t>
      </w:r>
    </w:p>
    <w:p>
      <w:pPr>
        <w:pBdr>
          <w:left w:val="single" w:color="1F4E79" w:sz="12" w:space="8"/>
        </w:pBdr>
        <w:spacing w:after="120"/>
        <w:ind w:left="360"/>
      </w:pPr>
      <w:r>
        <w:rPr>
          <w:i/>
          <w:iCs/>
          <w:color w:val="595959"/>
        </w:rPr>
        <w:t xml:space="preserve">„Scatter points are now clickable, but mouseover only highlights one datapoint that is on the same point on the x axis as the mouse, but not the scatter point hovered over. (performance → see I2)“</w:t>
      </w:r>
    </w:p>
    <w:p>
      <w:pPr>
        <w:spacing w:after="120"/>
      </w:pPr>
      <w:r>
        <w:rPr>
          <w:b/>
          <w:bCs/>
        </w:rPr>
        <w:t xml:space="preserve">Root cause:</w:t>
      </w:r>
      <w:r>
        <w:t xml:space="preserve"> both the highlight and the click resolved to the point nearest on the X-axis, not the point under the cursor — so with several points sharing an x they could highlight/open a different point.</w:t>
      </w:r>
    </w:p>
    <w:p>
      <w:pPr>
        <w:spacing w:after="120"/>
      </w:pPr>
      <w:r>
        <w:rPr>
          <w:b/>
          <w:bCs/>
        </w:rPr>
        <w:t xml:space="preserve">What changed:</w:t>
      </w:r>
      <w:r>
        <w:t xml:space="preserve"> hovering now emphasises the exact point under the cursor, and a click opens that point’s case (also removing a latent risk of opening the wrong patient when points overlap). The highlight is applied without re-rendering the chart, so it stays cheap on large clouds.</w:t>
      </w:r>
    </w:p>
    <w:p>
      <w:pPr>
        <w:spacing w:after="120"/>
      </w:pPr>
      <w:r>
        <w:rPr>
          <w:b/>
          <w:bCs/>
        </w:rPr>
        <w:t xml:space="preserve">How to verify: </w:t>
      </w:r>
      <w:r>
        <w:t xml:space="preserve">Analyse → Verläufe → enable „Streupunkte“ → move the cursor across points (the point under the cursor enlarges) → click it → its case detail opens. With points clustered on the same date, the hovered/clicked point is the correct one.</w:t>
      </w:r>
    </w:p>
    <w:p>
      <w:pPr>
        <w:spacing w:after="120"/>
      </w:pPr>
      <w:r>
        <w:rPr>
          <w:b/>
          <w:bCs/>
        </w:rPr>
        <w:t xml:space="preserve">Status: </w:t>
      </w:r>
      <w:r>
        <w:t xml:space="preserve">✅ Fixed.</w:t>
      </w:r>
    </w:p>
    <w:p>
      <w:pPr>
        <w:pStyle w:val="Heading2"/>
      </w:pPr>
      <w:r>
        <w:t xml:space="preserve">I2 — „Verläufe“ performance &amp; loading status (A6 / A1 follow-up)</w:t>
      </w:r>
    </w:p>
    <w:p>
      <w:pPr>
        <w:spacing w:after="120"/>
      </w:pPr>
      <w:r>
        <w:rPr>
          <w:b/>
          <w:bCs/>
        </w:rPr>
        <w:t xml:space="preserve">You wrote:</w:t>
      </w:r>
    </w:p>
    <w:p>
      <w:pPr>
        <w:pBdr>
          <w:left w:val="single" w:color="1F4E79" w:sz="12" w:space="8"/>
        </w:pBdr>
        <w:spacing w:after="120"/>
        <w:ind w:left="360"/>
      </w:pPr>
      <w:r>
        <w:rPr>
          <w:i/>
          <w:iCs/>
          <w:color w:val="595959"/>
        </w:rPr>
        <w:t xml:space="preserve">„Still slow. Potentially render the plots in the background to avoid unresponsive tabs and show system status. / system is unresponsive while loading.“</w:t>
      </w:r>
    </w:p>
    <w:p>
      <w:pPr>
        <w:spacing w:after="120"/>
      </w:pPr>
      <w:r>
        <w:rPr>
          <w:b/>
          <w:bCs/>
        </w:rPr>
        <w:t xml:space="preserve">Root cause:</w:t>
      </w:r>
      <w:r>
        <w:t xml:space="preserve"> on a large cohort the tab painted thousands of per-patient lines + scatter symbols (~14,000 SVG nodes) on the first render and only hid them afterwards — and there was no progress indicator, so the tab looked frozen.</w:t>
      </w:r>
    </w:p>
    <w:p>
      <w:pPr>
        <w:spacing w:after="120"/>
      </w:pPr>
      <w:r>
        <w:rPr>
          <w:b/>
          <w:bCs/>
        </w:rPr>
        <w:t xml:space="preserve">What changed:</w:t>
      </w:r>
    </w:p>
    <w:p>
      <w:pPr>
        <w:pStyle w:val="ListParagraph"/>
        <w:numPr>
          <w:ilvl w:val="0"/>
          <w:numId w:val="2"/>
        </w:numPr>
        <w:spacing w:after="40"/>
      </w:pPr>
      <w:r>
        <w:t xml:space="preserve">For large cohorts the per-patient curves and scatter are now off from the FIRST render (no heavy first paint); still toggleable on demand.</w:t>
      </w:r>
    </w:p>
    <w:p>
      <w:pPr>
        <w:pStyle w:val="ListParagraph"/>
        <w:numPr>
          <w:ilvl w:val="0"/>
          <w:numId w:val="2"/>
        </w:numPr>
        <w:spacing w:after="40"/>
      </w:pPr>
      <w:r>
        <w:t xml:space="preserve">A „wird berechnet / rendering“ status now shows while the tab prepares on the client path — no more silent freeze.</w:t>
      </w:r>
    </w:p>
    <w:p>
      <w:pPr>
        <w:pStyle w:val="ListParagraph"/>
        <w:numPr>
          <w:ilvl w:val="0"/>
          <w:numId w:val="2"/>
        </w:numPr>
        <w:spacing w:after="40"/>
      </w:pPr>
      <w:r>
        <w:t xml:space="preserve">Enabling scatter on a large cohort downsamples it (capped per panel, uniform coverage) so it stays responsive; drill-down/hover still work on every shown point.</w:t>
      </w:r>
    </w:p>
    <w:p>
      <w:pPr>
        <w:spacing w:after="120"/>
      </w:pPr>
      <w:r>
        <w:rPr>
          <w:b/>
          <w:bCs/>
        </w:rPr>
        <w:t xml:space="preserve">How to verify: </w:t>
      </w:r>
      <w:r>
        <w:t xml:space="preserve">Analyse → Verläufe on a large cohort (e.g. all 245) → opens quickly with no frozen first paint; a brief status indicator appears; switching metric tabs keeps any layer you enabled; turning „Streupunkte“ on stays responsive.</w:t>
      </w:r>
    </w:p>
    <w:p>
      <w:pPr>
        <w:spacing w:after="120"/>
      </w:pPr>
      <w:r>
        <w:rPr>
          <w:b/>
          <w:bCs/>
        </w:rPr>
        <w:t xml:space="preserve">Status: </w:t>
      </w:r>
      <w:r>
        <w:t xml:space="preserve">✅ Fixed. (A foreground glance to confirm smoothness on your machine is welcome.)</w:t>
      </w:r>
    </w:p>
    <w:p>
      <w:pPr>
        <w:pStyle w:val="Heading2"/>
      </w:pPr>
      <w:r>
        <w:t xml:space="preserve">I3 — Cohort overlay refinements (FALL-011 / A3 follow-up)</w:t>
      </w:r>
    </w:p>
    <w:p>
      <w:pPr>
        <w:spacing w:after="120"/>
      </w:pPr>
      <w:r>
        <w:rPr>
          <w:b/>
          <w:bCs/>
        </w:rPr>
        <w:t xml:space="preserve">You wrote:</w:t>
      </w:r>
    </w:p>
    <w:p>
      <w:pPr>
        <w:pBdr>
          <w:left w:val="single" w:color="1F4E79" w:sz="12" w:space="8"/>
        </w:pBdr>
        <w:spacing w:after="120"/>
        <w:ind w:left="360"/>
      </w:pPr>
      <w:r>
        <w:rPr>
          <w:i/>
          <w:iCs/>
          <w:color w:val="595959"/>
        </w:rPr>
        <w:t xml:space="preserve">„(1) Both cohort median lines should be in the legend. (2) What are the transparent ranges showing (sdv?)? (3) How is the cohort data aggregated? … by relative timestamps from start of observation … would require relative time on the x axis. (4) The other plots should also be comparable to the cohort.“</w:t>
      </w:r>
    </w:p>
    <w:p>
      <w:pPr>
        <w:spacing w:after="120"/>
      </w:pPr>
      <w:r>
        <w:rPr>
          <w:b/>
          <w:bCs/>
        </w:rPr>
        <w:t xml:space="preserve">What changed:</w:t>
      </w:r>
    </w:p>
    <w:p>
      <w:pPr>
        <w:pStyle w:val="ListParagraph"/>
        <w:numPr>
          <w:ilvl w:val="0"/>
          <w:numId w:val="2"/>
        </w:numPr>
        <w:spacing w:after="40"/>
      </w:pPr>
      <w:r>
        <w:t xml:space="preserve">(1) Both cohort median lines (Visus + CRT) now appear in the chart legend.</w:t>
      </w:r>
    </w:p>
    <w:p>
      <w:pPr>
        <w:pStyle w:val="ListParagraph"/>
        <w:numPr>
          <w:ilvl w:val="0"/>
          <w:numId w:val="2"/>
        </w:numPr>
        <w:spacing w:after="40"/>
      </w:pPr>
      <w:r>
        <w:t xml:space="preserve">(2) The shaded band is now labelled „Kohorten-IQR (25.–75. Perzentil)“ — it is the interquartile range, not a standard deviation.</w:t>
      </w:r>
    </w:p>
    <w:p>
      <w:pPr>
        <w:pStyle w:val="ListParagraph"/>
        <w:numPr>
          <w:ilvl w:val="0"/>
          <w:numId w:val="2"/>
        </w:numPr>
        <w:spacing w:after="40"/>
      </w:pPr>
      <w:r>
        <w:t xml:space="preserve">(3)+(4) deferred: relative-time aggregation (which implies a relative-time X-axis) and extending the comparison to the other plots are larger design changes scheduled for the next round (see Backlog). Today the overlay aggregates by calendar month on the patient’s own date axis.</w:t>
      </w:r>
    </w:p>
    <w:p>
      <w:pPr>
        <w:spacing w:after="120"/>
      </w:pPr>
      <w:r>
        <w:rPr>
          <w:b/>
          <w:bCs/>
        </w:rPr>
        <w:t xml:space="preserve">How to verify: </w:t>
      </w:r>
      <w:r>
        <w:t xml:space="preserve">open a case detail → enable „Kohorten-Referenz anzeigen“ → the legend lists „Kohorten-Median Visus“, „Kohorten-Median CRT“ and „Kohorten-IQR (25.–75. Perzentil)“.</w:t>
      </w:r>
    </w:p>
    <w:p>
      <w:pPr>
        <w:spacing w:after="120"/>
      </w:pPr>
      <w:r>
        <w:rPr>
          <w:b/>
          <w:bCs/>
        </w:rPr>
        <w:t xml:space="preserve">Status: </w:t>
      </w:r>
      <w:r>
        <w:t xml:space="preserve">🟡 Partially fixed (legend + band label done; relative-time aggregation and other-plot comparison are in Backlog).</w:t>
      </w:r>
    </w:p>
    <w:p>
      <w:pPr>
        <w:pStyle w:val="Heading2"/>
      </w:pPr>
      <w:r>
        <w:t xml:space="preserve">I4 — Full Visus label in the legend (FALL-012 / A4 follow-up)</w:t>
      </w:r>
    </w:p>
    <w:p>
      <w:pPr>
        <w:spacing w:after="120"/>
      </w:pPr>
      <w:r>
        <w:rPr>
          <w:b/>
          <w:bCs/>
        </w:rPr>
        <w:t xml:space="preserve">You wrote:</w:t>
      </w:r>
    </w:p>
    <w:p>
      <w:pPr>
        <w:pBdr>
          <w:left w:val="single" w:color="1F4E79" w:sz="12" w:space="8"/>
        </w:pBdr>
        <w:spacing w:after="120"/>
        <w:ind w:left="360"/>
      </w:pPr>
      <w:r>
        <w:rPr>
          <w:i/>
          <w:iCs/>
          <w:color w:val="595959"/>
        </w:rPr>
        <w:t xml:space="preserve">„Visus (Dezimal, bestkorrigiert) -&gt; legend“</w:t>
      </w:r>
    </w:p>
    <w:p>
      <w:pPr>
        <w:spacing w:after="120"/>
      </w:pPr>
      <w:r>
        <w:rPr>
          <w:b/>
          <w:bCs/>
        </w:rPr>
        <w:t xml:space="preserve">What changed:</w:t>
      </w:r>
      <w:r>
        <w:t xml:space="preserve"> the full descriptive label „Visus (Dezimal, bestkorrigiert)“ now appears in the chart legend; the Y-axis keeps the short „Visus“.</w:t>
      </w:r>
    </w:p>
    <w:p>
      <w:pPr>
        <w:spacing w:after="120"/>
      </w:pPr>
      <w:r>
        <w:rPr>
          <w:b/>
          <w:bCs/>
        </w:rPr>
        <w:t xml:space="preserve">How to verify: </w:t>
      </w:r>
      <w:r>
        <w:t xml:space="preserve">open a case detail → the legend reads „Visus (Dezimal, bestkorrigiert)“; the left Y-axis label is just „Visus“ (no longer a cut-off caption).</w:t>
      </w:r>
    </w:p>
    <w:p>
      <w:pPr>
        <w:spacing w:after="120"/>
      </w:pPr>
      <w:r>
        <w:rPr>
          <w:b/>
          <w:bCs/>
        </w:rPr>
        <w:t xml:space="preserve">Status: </w:t>
      </w:r>
      <w:r>
        <w:t xml:space="preserve">✅ Fixed.</w:t>
      </w:r>
    </w:p>
    <w:p>
      <w:pPr>
        <w:pStyle w:val="Heading2"/>
      </w:pPr>
      <w:r>
        <w:t xml:space="preserve">I5 — „Vollzähligkeit“ unified across both tabs (B2 — reversal of the v1.13 change)</w:t>
      </w:r>
    </w:p>
    <w:p>
      <w:pPr>
        <w:spacing w:after="120"/>
      </w:pPr>
      <w:r>
        <w:rPr>
          <w:b/>
          <w:bCs/>
        </w:rPr>
        <w:t xml:space="preserve">You wrote:</w:t>
      </w:r>
    </w:p>
    <w:p>
      <w:pPr>
        <w:pBdr>
          <w:left w:val="single" w:color="1F4E79" w:sz="12" w:space="8"/>
        </w:pBdr>
        <w:spacing w:after="120"/>
        <w:ind w:left="360"/>
      </w:pPr>
      <w:r>
        <w:rPr>
          <w:i/>
          <w:iCs/>
          <w:color w:val="595959"/>
        </w:rPr>
        <w:t xml:space="preserve">„The opposite was intended: Both tabs should show 'Vollzähligkeit' as number of cases in system / total number of cases (as shown on the landing page). Restore the changes. The tooltips are helpful and should be added to all four metric cards.“</w:t>
      </w:r>
    </w:p>
    <w:p>
      <w:pPr>
        <w:spacing w:after="120"/>
      </w:pPr>
      <w:r>
        <w:rPr>
          <w:b/>
          <w:bCs/>
        </w:rPr>
        <w:t xml:space="preserve">What changed:</w:t>
      </w:r>
      <w:r>
        <w:t xml:space="preserve"> the v1.13 rename was reverted. Both the landing page and Dokumentationsqualität now show „Vollzähligkeit“ = patients in the system / all registered patients (the landing definition, incl. not-yet-active/stub registrations). It reacts to the time filter coherently — the numerator counts patients active in the selected window while the denominator stays the full registered total, so the value falls for shorter windows rather than collapsing to ~100%. All four Dokumentationsqualität cards now carry a definition tooltip.</w:t>
      </w:r>
    </w:p>
    <w:p>
      <w:pPr>
        <w:spacing w:after="120"/>
      </w:pPr>
      <w:r>
        <w:rPr>
          <w:b/>
          <w:bCs/>
        </w:rPr>
        <w:t xml:space="preserve">How to verify:</w:t>
      </w:r>
    </w:p>
    <w:p>
      <w:pPr>
        <w:pStyle w:val="ListParagraph"/>
        <w:numPr>
          <w:ilvl w:val="0"/>
          <w:numId w:val="2"/>
        </w:numPr>
        <w:spacing w:after="40"/>
      </w:pPr>
      <w:r>
        <w:t xml:space="preserve">Landing page → the full-width card reads „Datenvollzähligkeit“ (e.g. 14 %, 245 / 1775).</w:t>
      </w:r>
    </w:p>
    <w:p>
      <w:pPr>
        <w:pStyle w:val="ListParagraph"/>
        <w:numPr>
          <w:ilvl w:val="0"/>
          <w:numId w:val="2"/>
        </w:numPr>
        <w:spacing w:after="40"/>
      </w:pPr>
      <w:r>
        <w:t xml:space="preserve">Dokumentationsqualität → four cards: Vollzähligkeit · Vollständigkeit · Plausibilität · Gesamtbewertung, each with an ℹ tooltip; the aggregate Vollzähligkeit equals the landing figure when unfiltered.</w:t>
      </w:r>
    </w:p>
    <w:p>
      <w:pPr>
        <w:pStyle w:val="ListParagraph"/>
        <w:numPr>
          <w:ilvl w:val="0"/>
          <w:numId w:val="2"/>
        </w:numPr>
        <w:spacing w:after="40"/>
      </w:pPr>
      <w:r>
        <w:t xml:space="preserve">Open the Zeitraum filter and narrow it (e.g. „Letzte 3 Monate“) → Vollzähligkeit drops (active-in-window / full registered total); it does NOT jump to ~100 %.</w:t>
      </w:r>
    </w:p>
    <w:p>
      <w:pPr>
        <w:spacing w:after="120"/>
      </w:pPr>
      <w:r>
        <w:rPr>
          <w:b/>
          <w:bCs/>
        </w:rPr>
        <w:t xml:space="preserve">Note: </w:t>
      </w:r>
      <w:r>
        <w:t xml:space="preserve">per your decision, Vollzähligkeit is included in the Gesamtbewertung at weight 0.4, so the overall score reflects coverage (≈65 % on the current data).</w:t>
      </w:r>
    </w:p>
    <w:p>
      <w:pPr>
        <w:spacing w:after="120"/>
      </w:pPr>
      <w:r>
        <w:rPr>
          <w:b/>
          <w:bCs/>
        </w:rPr>
        <w:t xml:space="preserve">Status: </w:t>
      </w:r>
      <w:r>
        <w:t xml:space="preserve">✅ Fixed.</w:t>
      </w:r>
    </w:p>
    <w:p>
      <w:pPr>
        <w:pStyle w:val="Heading2"/>
      </w:pPr>
      <w:r>
        <w:t xml:space="preserve">I6 — Quality review: annotation persistence + „Bestätigen“ tooltip (C1 follow-up)</w:t>
      </w:r>
    </w:p>
    <w:p>
      <w:pPr>
        <w:spacing w:after="120"/>
      </w:pPr>
      <w:r>
        <w:rPr>
          <w:b/>
          <w:bCs/>
        </w:rPr>
        <w:t xml:space="preserve">You wrote:</w:t>
      </w:r>
    </w:p>
    <w:p>
      <w:pPr>
        <w:pBdr>
          <w:left w:val="single" w:color="1F4E79" w:sz="12" w:space="8"/>
        </w:pBdr>
        <w:spacing w:after="120"/>
        <w:ind w:left="360"/>
      </w:pPr>
      <w:r>
        <w:rPr>
          <w:i/>
          <w:iCs/>
          <w:color w:val="595959"/>
        </w:rPr>
        <w:t xml:space="preserve">„When confirming in line, I lost the information on my label. The Annotation should remain. + There is no mouseover for 'Bestätigen', but for the other two options. + (backlog) it looks like we won't be able to correct information in the primary system.“</w:t>
      </w:r>
    </w:p>
    <w:p>
      <w:pPr>
        <w:spacing w:after="120"/>
      </w:pPr>
      <w:r>
        <w:rPr>
          <w:b/>
          <w:bCs/>
        </w:rPr>
        <w:t xml:space="preserve">What changed:</w:t>
      </w:r>
    </w:p>
    <w:p>
      <w:pPr>
        <w:pStyle w:val="ListParagraph"/>
        <w:numPr>
          <w:ilvl w:val="0"/>
          <w:numId w:val="2"/>
        </w:numPr>
        <w:spacing w:after="40"/>
      </w:pPr>
      <w:r>
        <w:t xml:space="preserve">A measurement’s annotation (the reported error note) now stays visible after you confirm or resolve the row — previously it was hidden once the row left „open“ (the note was never lost, only hidden). System placeholders („confirmed“/„corrected“) are never shown as a note; the note also appears in the read-only audit log.</w:t>
      </w:r>
    </w:p>
    <w:p>
      <w:pPr>
        <w:pStyle w:val="ListParagraph"/>
        <w:numPr>
          <w:ilvl w:val="0"/>
          <w:numId w:val="2"/>
        </w:numPr>
        <w:spacing w:after="40"/>
      </w:pPr>
      <w:r>
        <w:t xml:space="preserve">The „Bestätigen“ action now has a mouseover tooltip, like Behoben and Fehler melden.</w:t>
      </w:r>
    </w:p>
    <w:p>
      <w:pPr>
        <w:spacing w:after="120"/>
      </w:pPr>
      <w:r>
        <w:rPr>
          <w:b/>
          <w:bCs/>
        </w:rPr>
        <w:t xml:space="preserve">How to verify: </w:t>
      </w:r>
      <w:r>
        <w:t xml:space="preserve">Datenqualität → open a case → „Fehler melden“ on a row and enter an error type → the note shows → click „Bestätigen“ → the row flips to „bestätigt“ and the note still shows. Confirm a clean row → no placeholder text appears. Hover „Bestätigen“ → a tooltip appears.</w:t>
      </w:r>
    </w:p>
    <w:p>
      <w:pPr>
        <w:spacing w:after="120"/>
      </w:pPr>
      <w:r>
        <w:rPr>
          <w:b/>
          <w:bCs/>
        </w:rPr>
        <w:t xml:space="preserve">Status: </w:t>
      </w:r>
      <w:r>
        <w:t xml:space="preserve">✅ Fixed. Correcting values directly in the source/primary system remains out of scope — „Behoben“ stays a marker („im Quellsystem korrigiert“) — noted as Backlog.</w:t>
      </w:r>
    </w:p>
    <w:p>
      <w:pPr>
        <w:pStyle w:val="Heading1"/>
      </w:pPr>
      <w:r>
        <w:t xml:space="preserve">Backlog (next round)</w:t>
      </w:r>
    </w:p>
    <w:p>
      <w:pPr>
        <w:pStyle w:val="ListParagraph"/>
        <w:numPr>
          <w:ilvl w:val="0"/>
          <w:numId w:val="2"/>
        </w:numPr>
        <w:spacing w:after="40"/>
      </w:pPr>
      <w:r>
        <w:t xml:space="preserve">Relative-time cohort aggregation + a relative-time X-axis on the case trajectory (I3-3).</w:t>
      </w:r>
    </w:p>
    <w:p>
      <w:pPr>
        <w:pStyle w:val="ListParagraph"/>
        <w:numPr>
          <w:ilvl w:val="0"/>
          <w:numId w:val="2"/>
        </w:numPr>
        <w:spacing w:after="40"/>
      </w:pPr>
      <w:r>
        <w:t xml:space="preserve">Extend the cohort overlay to the other case-detail plots (distribution / Visus-vs-CRT / change-from-baseline) (I3-4).</w:t>
      </w:r>
    </w:p>
    <w:p>
      <w:pPr>
        <w:pStyle w:val="ListParagraph"/>
        <w:numPr>
          <w:ilvl w:val="0"/>
          <w:numId w:val="2"/>
        </w:numPr>
        <w:spacing w:after="40"/>
      </w:pPr>
      <w:r>
        <w:t xml:space="preserve">Source-system correction for flagged values (I6c) — only possible once the demonstrator writes back to a source system.</w:t>
      </w:r>
    </w:p>
    <w:p>
      <w:pPr>
        <w:pStyle w:val="Heading1"/>
      </w:pPr>
      <w:r>
        <w:t xml:space="preserve">Still closed (confirmed earlier, no change this round)</w:t>
      </w:r>
    </w:p>
    <w:p>
      <w:pPr>
        <w:spacing w:after="120"/>
      </w:pPr>
      <w:r>
        <w:t xml:space="preserve">A2 (time-filter counts) · A5 (audit attribution) · B1 (windowed documentation-quality metrics) · C2 (quality-check selection on Datenqualität) · C3 (cohort split wizard) · D1 (no multi-centre filter on Dokumentationsqualität — by decision).</w:t>
      </w:r>
    </w:p>
    <w:p>
      <w:pPr>
        <w:pBdr>
          <w:top w:val="single" w:color="1F4E79" w:sz="6" w:space="6"/>
        </w:pBdr>
        <w:spacing w:before="240"/>
      </w:pPr>
      <w:r>
        <w:rPr>
          <w:i/>
          <w:iCs/>
          <w:color w:val="595959"/>
        </w:rPr>
        <w:t xml:space="preserve">Verified with automated tests (1239 passing), a clean type-check / lint / dead-code scan, and live in-browser checks. Each item additionally passed an independent adversarial code review (which caught and fixed a hover-performance regression and a cold-load first-paint issue before release).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pPr>
    <w:rPr>
      <w:rFonts w:ascii="Arial" w:cs="Arial" w:eastAsia="Arial" w:hAnsi="Arial"/>
      <w:b/>
      <w:bCs/>
      <w:color w:val="1F4E79"/>
      <w:sz w:val="36"/>
      <w:szCs w:val="36"/>
    </w:rPr>
  </w:style>
  <w:style w:type="paragraph" w:styleId="Heading1">
    <w:name w:val="Heading 1"/>
    <w:basedOn w:val="Normal"/>
    <w:next w:val="Normal"/>
    <w:qFormat/>
    <w:pPr>
      <w:spacing w:after="120" w:before="24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220"/>
      <w:outlineLvl w:val="1"/>
    </w:pPr>
    <w:rPr>
      <w:rFonts w:ascii="Arial" w:cs="Arial" w:eastAsia="Arial" w:hAnsi="Arial"/>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2026-06-15T11:58:14.276Z</dcterms:created>
  <dcterms:modified xsi:type="dcterms:W3CDTF">2026-06-15T11:58:14.277Z</dcterms:modified>
</cp:coreProperties>
</file>

<file path=docProps/custom.xml><?xml version="1.0" encoding="utf-8"?>
<Properties xmlns="http://schemas.openxmlformats.org/officeDocument/2006/custom-properties" xmlns:vt="http://schemas.openxmlformats.org/officeDocument/2006/docPropsVTypes"/>
</file>