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иммунизации против НКВИ населения Свердловской области на </w:t>
      </w:r>
      <w:r>
        <w:rPr>
          <w:rFonts w:cs="Times New Roman" w:ascii="Times New Roman" w:hAnsi="Times New Roman"/>
          <w:b/>
          <w:color w:val="C9211E"/>
          <w:sz w:val="28"/>
          <w:szCs w:val="28"/>
        </w:rPr>
        <w:t>11.02.2023</w:t>
      </w:r>
    </w:p>
    <w:p>
      <w:pPr>
        <w:pStyle w:val="Normal"/>
        <w:jc w:val="both"/>
        <w:rPr/>
      </w:pPr>
      <w:bookmarkStart w:id="0" w:name="_Hlk86236848"/>
      <w:bookmarkStart w:id="1" w:name="_GoBack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 xml:space="preserve">Всего в Свердловскую область поставлено вакцины для иммунизации </w:t>
      </w:r>
      <w:r>
        <w:rPr>
          <w:rFonts w:cs="Times New Roman" w:ascii="Times New Roman" w:hAnsi="Times New Roman"/>
          <w:color w:val="C9211E"/>
          <w:sz w:val="28"/>
          <w:szCs w:val="28"/>
        </w:rPr>
        <w:t>3 355 650</w:t>
      </w:r>
      <w:r>
        <w:rPr>
          <w:rFonts w:eastAsia="Times New Roman" w:cs="Arial" w:ascii="Arial" w:hAnsi="Arial"/>
          <w:color w:val="C9211E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color w:val="C9211E"/>
          <w:sz w:val="28"/>
          <w:szCs w:val="28"/>
        </w:rPr>
        <w:t>человек, в том числе для вакцинации 3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 </w:t>
      </w:r>
      <w:r>
        <w:rPr>
          <w:rFonts w:cs="Times New Roman" w:ascii="Times New Roman" w:hAnsi="Times New Roman"/>
          <w:color w:val="C9211E"/>
          <w:sz w:val="28"/>
          <w:szCs w:val="28"/>
        </w:rPr>
        <w:t>346 060</w:t>
      </w:r>
      <w:r>
        <w:rPr>
          <w:rFonts w:cs="Times New Roman" w:ascii="Times New Roman" w:hAnsi="Times New Roman"/>
          <w:sz w:val="28"/>
          <w:szCs w:val="28"/>
        </w:rPr>
        <w:t xml:space="preserve"> взрослого населения, для вакцинации 9590 детского населения. Вакцинация началась с 14.12.2020.  </w:t>
      </w:r>
    </w:p>
    <w:p>
      <w:pPr>
        <w:pStyle w:val="Normal"/>
        <w:spacing w:before="0" w:after="0"/>
        <w:ind w:firstLine="709"/>
        <w:jc w:val="both"/>
        <w:rPr/>
      </w:pPr>
      <w:bookmarkStart w:id="2" w:name="_Hlk862368481"/>
      <w:bookmarkEnd w:id="2"/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b/>
          <w:bCs/>
          <w:color w:val="C9211E"/>
          <w:sz w:val="28"/>
          <w:szCs w:val="28"/>
        </w:rPr>
        <w:t>11.02.2023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вакцинация против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COVID</w:t>
      </w:r>
      <w:r>
        <w:rPr>
          <w:rFonts w:cs="Times New Roman" w:ascii="Times New Roman" w:hAnsi="Times New Roman"/>
          <w:b/>
          <w:sz w:val="28"/>
          <w:szCs w:val="28"/>
        </w:rPr>
        <w:t>-19 взрослого населения проводится в 86 медицинских организациях Свердловской области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</w:p>
    <w:p>
      <w:pPr>
        <w:pStyle w:val="Style19"/>
        <w:spacing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Вакцинация против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COVID</w:t>
      </w:r>
      <w:r>
        <w:rPr>
          <w:rFonts w:cs="Times New Roman" w:ascii="Times New Roman" w:hAnsi="Times New Roman"/>
          <w:b/>
          <w:sz w:val="28"/>
          <w:szCs w:val="28"/>
        </w:rPr>
        <w:t xml:space="preserve">-19 детского населения проводится в </w:t>
      </w:r>
      <w:r>
        <w:rPr>
          <w:rFonts w:cs="Times New Roman" w:ascii="Times New Roman" w:hAnsi="Times New Roman"/>
          <w:b/>
          <w:color w:val="C9211E"/>
          <w:sz w:val="28"/>
          <w:szCs w:val="28"/>
        </w:rPr>
        <w:t>30 медицинских организациях</w:t>
      </w:r>
      <w:r>
        <w:rPr>
          <w:rFonts w:cs="Times New Roman" w:ascii="Times New Roman" w:hAnsi="Times New Roman"/>
          <w:b/>
          <w:sz w:val="28"/>
          <w:szCs w:val="28"/>
        </w:rPr>
        <w:t xml:space="preserve"> Свердловской области,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Таким образом, в </w:t>
      </w:r>
      <w:r>
        <w:rPr>
          <w:rFonts w:cs="Times New Roman" w:ascii="Times New Roman" w:hAnsi="Times New Roman"/>
          <w:b/>
          <w:color w:val="C9211E"/>
          <w:sz w:val="28"/>
          <w:szCs w:val="28"/>
        </w:rPr>
        <w:t>95 МО с вакциной есть 163 кабинета: город-38 (в том числе 8 детских), область-125 (в том числе 27 детских).</w:t>
      </w:r>
    </w:p>
    <w:p>
      <w:pPr>
        <w:pStyle w:val="Normal"/>
        <w:spacing w:before="0" w:after="0"/>
        <w:ind w:firstLine="709"/>
        <w:jc w:val="both"/>
        <w:rPr/>
      </w:pPr>
      <w:bookmarkStart w:id="3" w:name="_Hlk100925866"/>
      <w:bookmarkEnd w:id="3"/>
      <w:r>
        <w:rPr>
          <w:rFonts w:cs="Times New Roman" w:ascii="Times New Roman" w:hAnsi="Times New Roman"/>
          <w:b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/>
          <w:sz w:val="28"/>
          <w:szCs w:val="28"/>
        </w:rPr>
        <w:t xml:space="preserve"> этап – </w:t>
      </w:r>
      <w:r>
        <w:rPr>
          <w:rFonts w:cs="Times New Roman" w:ascii="Times New Roman" w:hAnsi="Times New Roman"/>
          <w:sz w:val="28"/>
          <w:szCs w:val="28"/>
        </w:rPr>
        <w:t>всего населения привито</w:t>
      </w:r>
      <w:r>
        <w:rPr>
          <w:rFonts w:cs="Times New Roman" w:ascii="Times New Roman" w:hAnsi="Times New Roman"/>
          <w:b/>
          <w:sz w:val="28"/>
          <w:szCs w:val="28"/>
        </w:rPr>
        <w:t xml:space="preserve"> 3196400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человека (с учетом ФедМО –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3314039</w:t>
      </w:r>
      <w:r>
        <w:rPr>
          <w:rFonts w:cs="Times New Roman" w:ascii="Times New Roman" w:hAnsi="Times New Roman"/>
          <w:sz w:val="28"/>
          <w:szCs w:val="28"/>
        </w:rPr>
        <w:t>), завершили вакцинацию</w:t>
      </w:r>
      <w:r>
        <w:rPr>
          <w:rFonts w:cs="Times New Roman" w:ascii="Times New Roman" w:hAnsi="Times New Roman"/>
          <w:b/>
          <w:sz w:val="28"/>
          <w:szCs w:val="28"/>
        </w:rPr>
        <w:t xml:space="preserve"> 2965435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человек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(с учетом ФедМО –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3078876</w:t>
      </w:r>
      <w:r>
        <w:rPr>
          <w:rFonts w:cs="Times New Roman" w:ascii="Times New Roman" w:hAnsi="Times New Roman"/>
          <w:sz w:val="28"/>
          <w:szCs w:val="28"/>
        </w:rPr>
        <w:t xml:space="preserve">), из них в городе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этап - привит</w:t>
      </w:r>
      <w:r>
        <w:rPr>
          <w:rFonts w:cs="Times New Roman" w:ascii="Times New Roman" w:hAnsi="Times New Roman"/>
          <w:color w:val="auto"/>
          <w:sz w:val="28"/>
          <w:szCs w:val="28"/>
        </w:rPr>
        <w:t>о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1238596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человек, завершили вакцинацию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1153429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человек. В т</w:t>
      </w:r>
      <w:r>
        <w:rPr>
          <w:rFonts w:cs="Times New Roman" w:ascii="Times New Roman" w:hAnsi="Times New Roman"/>
          <w:sz w:val="28"/>
          <w:szCs w:val="28"/>
        </w:rPr>
        <w:t xml:space="preserve">ом числе привито </w:t>
      </w:r>
      <w:r>
        <w:rPr>
          <w:rFonts w:cs="Times New Roman" w:ascii="Times New Roman" w:hAnsi="Times New Roman"/>
          <w:b/>
          <w:sz w:val="28"/>
          <w:szCs w:val="28"/>
        </w:rPr>
        <w:t xml:space="preserve">детей (12-17 лет): </w:t>
      </w:r>
      <w:r>
        <w:rPr>
          <w:rFonts w:cs="Times New Roman" w:ascii="Times New Roman" w:hAnsi="Times New Roman"/>
          <w:sz w:val="28"/>
          <w:szCs w:val="28"/>
        </w:rPr>
        <w:t xml:space="preserve">1 компонент – </w:t>
      </w:r>
      <w:r>
        <w:rPr>
          <w:rFonts w:cs="Times New Roman" w:ascii="Times New Roman" w:hAnsi="Times New Roman"/>
          <w:b/>
          <w:bCs/>
          <w:sz w:val="28"/>
          <w:szCs w:val="28"/>
        </w:rPr>
        <w:t>9387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2 компонент – </w:t>
      </w:r>
      <w:r>
        <w:rPr>
          <w:rFonts w:cs="Times New Roman" w:ascii="Times New Roman" w:hAnsi="Times New Roman"/>
          <w:b/>
          <w:bCs/>
          <w:sz w:val="28"/>
          <w:szCs w:val="28"/>
        </w:rPr>
        <w:t>9072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(из них город – </w:t>
      </w:r>
      <w:r>
        <w:rPr>
          <w:rFonts w:cs="Times New Roman" w:ascii="Times New Roman" w:hAnsi="Times New Roman"/>
          <w:color w:val="000000"/>
          <w:sz w:val="28"/>
          <w:szCs w:val="28"/>
        </w:rPr>
        <w:t>4566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4501</w:t>
      </w:r>
      <w:r>
        <w:rPr>
          <w:rFonts w:cs="Times New Roman" w:ascii="Times New Roman" w:hAnsi="Times New Roman"/>
          <w:sz w:val="28"/>
          <w:szCs w:val="28"/>
        </w:rPr>
        <w:t xml:space="preserve">, область – </w:t>
      </w:r>
      <w:r>
        <w:rPr>
          <w:rFonts w:cs="Times New Roman" w:ascii="Times New Roman" w:hAnsi="Times New Roman"/>
          <w:color w:val="000000"/>
          <w:sz w:val="28"/>
          <w:szCs w:val="28"/>
        </w:rPr>
        <w:t>4821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4571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Привито при выписке из стационара всего – </w:t>
      </w:r>
      <w:r>
        <w:rPr>
          <w:rFonts w:cs="Times New Roman" w:ascii="Times New Roman" w:hAnsi="Times New Roman"/>
          <w:b/>
          <w:bCs/>
          <w:sz w:val="28"/>
          <w:szCs w:val="28"/>
        </w:rPr>
        <w:t>32261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из них в городе Екатеринбурге –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7101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человек</w:t>
      </w:r>
      <w:r>
        <w:rPr>
          <w:rFonts w:cs="Times New Roman" w:ascii="Times New Roman" w:hAnsi="Times New Roman"/>
          <w:sz w:val="28"/>
          <w:szCs w:val="28"/>
        </w:rPr>
        <w:t xml:space="preserve">. Вакцинировано беременных – </w:t>
      </w:r>
      <w:r>
        <w:rPr>
          <w:rFonts w:cs="Times New Roman" w:ascii="Times New Roman" w:hAnsi="Times New Roman"/>
          <w:b/>
          <w:bCs/>
          <w:sz w:val="28"/>
          <w:szCs w:val="28"/>
        </w:rPr>
        <w:t>4351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в том числе в г. Екатеринбурге –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1647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Охват вакцинацией взрослого населения – </w:t>
      </w:r>
      <w:r>
        <w:rPr>
          <w:rFonts w:cs="Times New Roman" w:ascii="Times New Roman" w:hAnsi="Times New Roman"/>
          <w:b/>
          <w:bCs/>
          <w:sz w:val="28"/>
          <w:szCs w:val="28"/>
        </w:rPr>
        <w:t>97.18%</w:t>
      </w:r>
      <w:r>
        <w:rPr>
          <w:rFonts w:cs="Times New Roman" w:ascii="Times New Roman" w:hAnsi="Times New Roman"/>
          <w:sz w:val="28"/>
          <w:szCs w:val="28"/>
        </w:rPr>
        <w:t xml:space="preserve">, охват вакцинацией всего населения – </w:t>
      </w:r>
      <w:r>
        <w:rPr>
          <w:rFonts w:cs="Times New Roman" w:ascii="Times New Roman" w:hAnsi="Times New Roman"/>
          <w:b/>
          <w:bCs/>
          <w:sz w:val="28"/>
          <w:szCs w:val="28"/>
        </w:rPr>
        <w:t>76.08%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bookmarkStart w:id="4" w:name="_Hlk80109468"/>
      <w:r>
        <w:rPr>
          <w:rFonts w:cs="Times New Roman" w:ascii="Times New Roman" w:hAnsi="Times New Roman"/>
          <w:sz w:val="28"/>
          <w:szCs w:val="28"/>
        </w:rPr>
        <w:t xml:space="preserve">За день привито всего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этап – </w:t>
      </w:r>
      <w:r>
        <w:rPr>
          <w:rFonts w:cs="Times New Roman" w:ascii="Times New Roman" w:hAnsi="Times New Roman"/>
          <w:b/>
          <w:bCs/>
          <w:sz w:val="28"/>
          <w:szCs w:val="28"/>
        </w:rPr>
        <w:t>825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человек, завершили вакцинацию – </w:t>
      </w:r>
      <w:r>
        <w:rPr>
          <w:rFonts w:cs="Times New Roman" w:ascii="Times New Roman" w:hAnsi="Times New Roman"/>
          <w:b/>
          <w:bCs/>
          <w:sz w:val="28"/>
          <w:szCs w:val="28"/>
        </w:rPr>
        <w:t>683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человек (город - </w:t>
      </w:r>
      <w:r>
        <w:rPr>
          <w:rFonts w:cs="Times New Roman" w:ascii="Times New Roman" w:hAnsi="Times New Roman"/>
          <w:color w:val="000000"/>
          <w:sz w:val="28"/>
          <w:szCs w:val="28"/>
        </w:rPr>
        <w:t>414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239</w:t>
      </w:r>
      <w:r>
        <w:rPr>
          <w:rFonts w:cs="Times New Roman" w:ascii="Times New Roman" w:hAnsi="Times New Roman"/>
          <w:sz w:val="28"/>
          <w:szCs w:val="28"/>
        </w:rPr>
        <w:t xml:space="preserve">, область – </w:t>
      </w:r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411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444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). Вакцинировано детей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этап – </w:t>
      </w:r>
      <w:r>
        <w:rPr>
          <w:rFonts w:cs="Times New Roman" w:ascii="Times New Roman" w:hAnsi="Times New Roman"/>
          <w:color w:val="000000"/>
          <w:sz w:val="28"/>
          <w:szCs w:val="28"/>
        </w:rPr>
        <w:t>0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, завершили вакцинацию – </w:t>
      </w:r>
      <w:r>
        <w:rPr>
          <w:rFonts w:cs="Times New Roman" w:ascii="Times New Roman" w:hAnsi="Times New Roman"/>
          <w:color w:val="000000"/>
          <w:sz w:val="28"/>
          <w:szCs w:val="28"/>
        </w:rPr>
        <w:t>0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Привито лиц категории 60+ всего </w:t>
      </w:r>
      <w:r>
        <w:rPr>
          <w:rFonts w:cs="Times New Roman" w:ascii="Times New Roman" w:hAnsi="Times New Roman"/>
          <w:b/>
          <w:bCs/>
          <w:sz w:val="28"/>
          <w:szCs w:val="28"/>
        </w:rPr>
        <w:t>1007083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(в том числе законченных – 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941051</w:t>
      </w:r>
      <w:r>
        <w:rPr>
          <w:rFonts w:cs="Times New Roman" w:ascii="Times New Roman" w:hAnsi="Times New Roman"/>
          <w:sz w:val="28"/>
          <w:szCs w:val="28"/>
        </w:rPr>
        <w:t xml:space="preserve">), из них в г. Екатеринбурге – </w:t>
      </w:r>
      <w:r>
        <w:rPr>
          <w:rFonts w:cs="Times New Roman" w:ascii="Times New Roman" w:hAnsi="Times New Roman"/>
          <w:color w:val="000000"/>
          <w:sz w:val="28"/>
          <w:szCs w:val="28"/>
        </w:rPr>
        <w:t>329457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309179</w:t>
      </w:r>
      <w:r>
        <w:rPr>
          <w:rFonts w:cs="Times New Roman" w:ascii="Times New Roman" w:hAnsi="Times New Roman"/>
          <w:sz w:val="28"/>
          <w:szCs w:val="28"/>
        </w:rPr>
        <w:t xml:space="preserve">, в области </w:t>
      </w:r>
      <w:r>
        <w:rPr>
          <w:rFonts w:cs="Times New Roman" w:ascii="Times New Roman" w:hAnsi="Times New Roman"/>
          <w:color w:val="000000"/>
          <w:sz w:val="28"/>
          <w:szCs w:val="28"/>
        </w:rPr>
        <w:t>677626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631872</w:t>
      </w:r>
      <w:r>
        <w:rPr>
          <w:rFonts w:cs="Times New Roman" w:ascii="Times New Roman" w:hAnsi="Times New Roman"/>
          <w:sz w:val="28"/>
          <w:szCs w:val="28"/>
        </w:rPr>
        <w:t xml:space="preserve">. Охват вакцинацией лиц возрастной категории «старше 60 лет» составил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95.30%</w:t>
      </w:r>
      <w:r>
        <w:rPr>
          <w:rFonts w:cs="Times New Roman" w:ascii="Times New Roman" w:hAnsi="Times New Roman"/>
          <w:sz w:val="28"/>
          <w:szCs w:val="28"/>
        </w:rPr>
        <w:t xml:space="preserve"> (по численность Росстата за 2021 год – </w:t>
      </w:r>
      <w:r>
        <w:rPr>
          <w:rFonts w:cs="Times New Roman" w:ascii="Times New Roman" w:hAnsi="Times New Roman"/>
          <w:color w:val="000000"/>
          <w:sz w:val="28"/>
          <w:szCs w:val="28"/>
        </w:rPr>
        <w:t>987486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),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92.38%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(по данным ТФОМС – </w:t>
      </w:r>
      <w:r>
        <w:rPr>
          <w:rFonts w:cs="Times New Roman" w:ascii="Times New Roman" w:hAnsi="Times New Roman"/>
          <w:color w:val="000000"/>
          <w:sz w:val="28"/>
          <w:szCs w:val="28"/>
        </w:rPr>
        <w:t>1018655</w:t>
      </w:r>
      <w:r>
        <w:rPr>
          <w:rFonts w:cs="Times New Roman" w:ascii="Times New Roman" w:hAnsi="Times New Roman"/>
          <w:color w:val="auto"/>
          <w:sz w:val="28"/>
          <w:szCs w:val="28"/>
        </w:rPr>
        <w:t>). Доля л</w:t>
      </w:r>
      <w:r>
        <w:rPr>
          <w:rFonts w:cs="Times New Roman" w:ascii="Times New Roman" w:hAnsi="Times New Roman"/>
          <w:sz w:val="28"/>
          <w:szCs w:val="28"/>
        </w:rPr>
        <w:t xml:space="preserve">иц возрастной категории «старше 60 лет» в структуре привитых составила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31.73%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% (по завершенной вакцинации).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Остаток вакцины всего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138253 </w:t>
      </w:r>
      <w:r>
        <w:rPr>
          <w:rFonts w:cs="Times New Roman" w:ascii="Times New Roman" w:hAnsi="Times New Roman"/>
          <w:sz w:val="28"/>
          <w:szCs w:val="28"/>
        </w:rPr>
        <w:t xml:space="preserve">доз, в том числе в медицинских организациях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120248 </w:t>
      </w:r>
      <w:r>
        <w:rPr>
          <w:rFonts w:cs="Times New Roman" w:ascii="Times New Roman" w:hAnsi="Times New Roman"/>
          <w:sz w:val="28"/>
          <w:szCs w:val="28"/>
        </w:rPr>
        <w:t xml:space="preserve">доз, в резерве от полученного объема на областном складе «Фармация»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18005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доз.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Записано на вакцинацию всего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461 </w:t>
      </w:r>
      <w:r>
        <w:rPr>
          <w:rFonts w:cs="Times New Roman" w:ascii="Times New Roman" w:hAnsi="Times New Roman"/>
          <w:sz w:val="28"/>
          <w:szCs w:val="28"/>
        </w:rPr>
        <w:t>челов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ек, в том числе область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23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,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г. Екатеринбург –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438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  <w:tab/>
        <w:tab/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Всего внесено записей в ФР вакцин</w:t>
      </w:r>
      <w:r>
        <w:rPr>
          <w:rFonts w:cs="Times New Roman" w:ascii="Times New Roman" w:hAnsi="Times New Roman"/>
          <w:sz w:val="28"/>
          <w:szCs w:val="28"/>
        </w:rPr>
        <w:t xml:space="preserve">ированных (первичная + повторная вакцинации)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3240520 </w:t>
      </w:r>
      <w:r>
        <w:rPr>
          <w:rFonts w:cs="Times New Roman" w:ascii="Times New Roman" w:hAnsi="Times New Roman"/>
          <w:sz w:val="28"/>
          <w:szCs w:val="28"/>
        </w:rPr>
        <w:t xml:space="preserve">первой вакцинации,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2991905 </w:t>
      </w:r>
      <w:r>
        <w:rPr>
          <w:rFonts w:cs="Times New Roman" w:ascii="Times New Roman" w:hAnsi="Times New Roman"/>
          <w:sz w:val="28"/>
          <w:szCs w:val="28"/>
        </w:rPr>
        <w:t>заве</w:t>
      </w:r>
      <w:r>
        <w:rPr>
          <w:rFonts w:cs="Times New Roman" w:ascii="Times New Roman" w:hAnsi="Times New Roman"/>
          <w:color w:val="auto"/>
          <w:sz w:val="28"/>
          <w:szCs w:val="28"/>
        </w:rPr>
        <w:t>ршенной вакцинации.</w:t>
      </w:r>
    </w:p>
    <w:p>
      <w:pPr>
        <w:pStyle w:val="Style19"/>
        <w:spacing w:before="0" w:after="0"/>
        <w:ind w:left="0" w:right="0" w:firstLine="720"/>
        <w:contextualSpacing/>
        <w:jc w:val="both"/>
        <w:textAlignment w:val="baseline"/>
        <w:rPr>
          <w:color w:val="auto"/>
        </w:rPr>
      </w:pPr>
      <w:bookmarkStart w:id="5" w:name="_Hlk1009258661"/>
      <w:bookmarkEnd w:id="5"/>
      <w:r>
        <w:rPr>
          <w:rFonts w:cs="Times New Roman" w:ascii="Times New Roman" w:hAnsi="Times New Roman"/>
          <w:color w:val="auto"/>
          <w:sz w:val="28"/>
          <w:szCs w:val="28"/>
        </w:rPr>
        <w:t>Мобильные пункты 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36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 </w:t>
      </w:r>
    </w:p>
    <w:p>
      <w:pPr>
        <w:pStyle w:val="Style19"/>
        <w:spacing w:before="0" w:after="120"/>
        <w:ind w:left="0" w:right="0" w:firstLine="720"/>
        <w:contextualSpacing/>
        <w:jc w:val="both"/>
        <w:textAlignment w:val="baseline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Мобильные бригады 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67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) </w:t>
      </w:r>
    </w:p>
    <w:p>
      <w:pPr>
        <w:pStyle w:val="Style19"/>
        <w:spacing w:before="0" w:after="120"/>
        <w:ind w:left="0" w:right="0" w:firstLine="720"/>
        <w:contextualSpacing/>
        <w:jc w:val="both"/>
        <w:textAlignment w:val="baseline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Мобильные бригады для вакцинации детского населения 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10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) </w:t>
      </w:r>
    </w:p>
    <w:p>
      <w:pPr>
        <w:pStyle w:val="Normal"/>
        <w:suppressAutoHyphens w:val="false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Отчет о проведенных профилактических прививках против коронавирусно</w:t>
      </w:r>
      <w:r>
        <w:rPr>
          <w:rFonts w:cs="Times New Roman" w:ascii="Times New Roman" w:hAnsi="Times New Roman"/>
          <w:sz w:val="28"/>
          <w:szCs w:val="28"/>
        </w:rPr>
        <w:t>й инфекции (СОVID-19) по контингентам</w:t>
      </w:r>
    </w:p>
    <w:tbl>
      <w:tblPr>
        <w:tblW w:w="93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2518"/>
        <w:gridCol w:w="2239"/>
      </w:tblGrid>
      <w:tr>
        <w:trPr>
          <w:tblHeader w:val="true"/>
          <w:trHeight w:val="1073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Контингенты, подлежащие иммунизации по эпидемическим показаниям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Количество подлежащих вакцинации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Проведено прививок</w:t>
            </w:r>
          </w:p>
        </w:tc>
      </w:tr>
      <w:tr>
        <w:trPr>
          <w:trHeight w:val="59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bookmarkStart w:id="6" w:name="OLE_LINK1"/>
            <w:bookmarkStart w:id="7" w:name="OLE_LINK2"/>
            <w:bookmarkEnd w:id="6"/>
            <w:bookmarkEnd w:id="7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Приоритет 1-го уровня, всего (сумма)</w:t>
            </w:r>
          </w:p>
        </w:tc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1042210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1410826</w:t>
            </w:r>
          </w:p>
        </w:tc>
      </w:tr>
      <w:tr>
        <w:trPr>
          <w:trHeight w:val="486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медицинских организаций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74886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146878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образовательных организаций: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122493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222980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учреждений социального обслуживания и МФЦ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16977</w:t>
            </w:r>
          </w:p>
        </w:tc>
        <w:tc>
          <w:tcPr>
            <w:tcW w:w="22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42358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лица, проживающие в организациях социального обслуживания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7288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19712</w:t>
            </w:r>
          </w:p>
        </w:tc>
      </w:tr>
      <w:tr>
        <w:trPr>
          <w:trHeight w:val="1525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лица с хроническими заболеваниями, в том числе с заболеваниями бронхолегочной системы, сердечно-сосудистыми заболеваниями, сахарным диабетом и ожирением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
                <w:br/>
                151997
                <w:br/>
             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314171</w:t>
            </w:r>
          </w:p>
        </w:tc>
      </w:tr>
      <w:tr>
        <w:trPr>
          <w:trHeight w:val="50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неработающие пенсионеры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
                668569
                <w:br/>
              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664727</w:t>
            </w:r>
          </w:p>
        </w:tc>
      </w:tr>
      <w:tr>
        <w:trPr>
          <w:trHeight w:val="727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Приоритет 2-го уровня, всего (сумма)</w:t>
            </w:r>
          </w:p>
        </w:tc>
        <w:tc>
          <w:tcPr>
            <w:tcW w:w="2518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265939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670696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организаций транспорта и энергетики: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67721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182684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сотрудники правоохранительных органов: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13682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42397</w:t>
            </w:r>
          </w:p>
        </w:tc>
      </w:tr>
      <w:tr>
        <w:trPr>
          <w:trHeight w:val="988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государственных контрольных органов в пунктах пропуска через государственную границу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
                <w:br/>
                1027
                <w:br/>
              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2551</w:t>
            </w:r>
          </w:p>
        </w:tc>
      </w:tr>
      <w:tr>
        <w:trPr>
          <w:trHeight w:val="291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лица, работающие вахтовым методом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5500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19461</w:t>
            </w:r>
          </w:p>
        </w:tc>
      </w:tr>
      <w:tr>
        <w:trPr>
          <w:trHeight w:val="339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волонтеры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2491</w:t>
            </w:r>
          </w:p>
        </w:tc>
      </w:tr>
      <w:tr>
        <w:trPr>
          <w:trHeight w:val="365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военнослужащие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5437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12272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работники организаций сферы предоставления услуг</w:t>
            </w:r>
          </w:p>
        </w:tc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172370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408840</w:t>
            </w:r>
          </w:p>
        </w:tc>
      </w:tr>
      <w:tr>
        <w:trPr>
          <w:trHeight w:val="453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Приоритет 3-го уровня, всего (сумма)</w:t>
            </w:r>
          </w:p>
        </w:tc>
        <w:tc>
          <w:tcPr>
            <w:tcW w:w="2518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112916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156273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государственные гражданские и муниципальные служащие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36073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89673</w:t>
            </w:r>
          </w:p>
        </w:tc>
      </w:tr>
      <w:tr>
        <w:trPr>
          <w:trHeight w:val="1164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обучающиеся в профессиональных образовательных организациях и образовательных организациях высшего образования старше 18 лет.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
                <w:br/>
                72552
                <w:br/>
              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64896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лица, подлежащие призыву на военную службу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4291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1704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Прочие (+работники промышленных предприятий)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539631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945454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Учащиеся школ 12-17 лет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Учащиеся СУЗв, ВУЗов 12-17 лет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9624</w:t>
            </w:r>
          </w:p>
        </w:tc>
      </w:tr>
      <w:tr>
        <w:trPr>
          <w:trHeight w:val="582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Итого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План в соответствии с приказом МЗСО №2427-п от 21.10.2021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1 960 696 (старше 18 лет)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+ 88 032 (12-17 лет) не утвержден приказом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3192873</w:t>
            </w:r>
          </w:p>
        </w:tc>
      </w:tr>
    </w:tbl>
    <w:p>
      <w:pPr>
        <w:pStyle w:val="Normal"/>
        <w:suppressAutoHyphens w:val="false"/>
        <w:spacing w:before="0" w:after="0"/>
        <w:jc w:val="center"/>
        <w:rPr/>
      </w:pPr>
      <w:r>
        <w:rPr/>
        <w:t xml:space="preserve"> </w:t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paragraph" w:styleId="Heading5">
    <w:name w:val="Heading 5"/>
    <w:basedOn w:val="91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yle13">
    <w:name w:val="Основной шрифт абзаца"/>
    <w:qFormat/>
    <w:rPr/>
  </w:style>
  <w:style w:type="character" w:styleId="16">
    <w:name w:val="Основной шрифт абзаца16"/>
    <w:qFormat/>
    <w:rPr/>
  </w:style>
  <w:style w:type="character" w:styleId="15">
    <w:name w:val="Основной шрифт абзаца15"/>
    <w:qFormat/>
    <w:rPr/>
  </w:style>
  <w:style w:type="character" w:styleId="14">
    <w:name w:val="Основной шрифт абзаца14"/>
    <w:qFormat/>
    <w:rPr/>
  </w:style>
  <w:style w:type="character" w:styleId="13">
    <w:name w:val="Основной шрифт абзаца13"/>
    <w:qFormat/>
    <w:rPr/>
  </w:style>
  <w:style w:type="character" w:styleId="12">
    <w:name w:val="Основной шрифт абзаца12"/>
    <w:qFormat/>
    <w:rPr/>
  </w:style>
  <w:style w:type="character" w:styleId="11">
    <w:name w:val="Основной шрифт абзаца11"/>
    <w:qFormat/>
    <w:rPr/>
  </w:style>
  <w:style w:type="character" w:styleId="10">
    <w:name w:val="Основной шрифт абзаца10"/>
    <w:qFormat/>
    <w:rPr/>
  </w:style>
  <w:style w:type="character" w:styleId="9">
    <w:name w:val="Основной шрифт абзаца9"/>
    <w:qFormat/>
    <w:rPr/>
  </w:style>
  <w:style w:type="character" w:styleId="8">
    <w:name w:val="Основной шрифт абзаца8"/>
    <w:qFormat/>
    <w:rPr/>
  </w:style>
  <w:style w:type="character" w:styleId="7">
    <w:name w:val="Основной шрифт абзаца7"/>
    <w:qFormat/>
    <w:rPr/>
  </w:style>
  <w:style w:type="character" w:styleId="6">
    <w:name w:val="Основной шрифт абзаца6"/>
    <w:qFormat/>
    <w:rPr/>
  </w:style>
  <w:style w:type="character" w:styleId="5">
    <w:name w:val="Основной шрифт абзаца5"/>
    <w:qFormat/>
    <w:rPr/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b w:val="false"/>
      <w:sz w:val="28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Calibri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color w:val="000000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4">
    <w:name w:val="Верхний колонтитул Знак"/>
    <w:qFormat/>
    <w:rPr>
      <w:rFonts w:ascii="Calibri" w:hAnsi="Calibri" w:eastAsia="Calibri" w:cs="Calibri"/>
      <w:sz w:val="22"/>
      <w:szCs w:val="22"/>
      <w:lang w:eastAsia="zh-CN"/>
    </w:rPr>
  </w:style>
  <w:style w:type="character" w:styleId="Style15">
    <w:name w:val="Нижний колонтитул Знак"/>
    <w:qFormat/>
    <w:rPr>
      <w:rFonts w:ascii="Calibri" w:hAnsi="Calibri" w:eastAsia="Calibri" w:cs="Calibri"/>
      <w:sz w:val="22"/>
      <w:szCs w:val="22"/>
      <w:lang w:eastAsia="zh-CN"/>
    </w:rPr>
  </w:style>
  <w:style w:type="character" w:styleId="Style16">
    <w:name w:val="Текст выноски Знак"/>
    <w:qFormat/>
    <w:rPr>
      <w:rFonts w:ascii="Tahoma" w:hAnsi="Tahoma" w:eastAsia="Calibri" w:cs="Tahoma"/>
      <w:sz w:val="16"/>
      <w:szCs w:val="16"/>
      <w:lang w:bidi="ar-SA"/>
    </w:rPr>
  </w:style>
  <w:style w:type="character" w:styleId="Style17">
    <w:name w:val="Основной текст Знак"/>
    <w:qFormat/>
    <w:rPr>
      <w:rFonts w:ascii="Calibri" w:hAnsi="Calibri" w:eastAsia="Calibri" w:cs="Calibri"/>
      <w:sz w:val="22"/>
      <w:szCs w:val="22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>
      <w:lang w:val="ru-R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91">
    <w:name w:val="Заголовок9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FreeSans;Times New Roman" w:cs="FreeSans;Times New Roman"/>
      <w:sz w:val="28"/>
      <w:szCs w:val="28"/>
    </w:rPr>
  </w:style>
  <w:style w:type="paragraph" w:styleId="141">
    <w:name w:val="Заголовок14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1">
    <w:name w:val="Указатель16"/>
    <w:basedOn w:val="Normal"/>
    <w:qFormat/>
    <w:pPr>
      <w:suppressLineNumbers/>
    </w:pPr>
    <w:rPr>
      <w:rFonts w:cs="Arial"/>
      <w:lang w:val="zxx" w:bidi="zxx"/>
    </w:rPr>
  </w:style>
  <w:style w:type="paragraph" w:styleId="162">
    <w:name w:val="Название объекта16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51">
    <w:name w:val="Указатель15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31">
    <w:name w:val="Заголовок13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52">
    <w:name w:val="Название объекта15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42">
    <w:name w:val="Указатель14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21">
    <w:name w:val="Заголовок12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43">
    <w:name w:val="Название объекта14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32">
    <w:name w:val="Указатель13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11">
    <w:name w:val="Заголовок1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33">
    <w:name w:val="Название объекта13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22">
    <w:name w:val="Указатель12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01">
    <w:name w:val="Заголовок10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imbus Sans" w:cs="FreeSans;Times New Roman"/>
      <w:sz w:val="28"/>
      <w:szCs w:val="28"/>
    </w:rPr>
  </w:style>
  <w:style w:type="paragraph" w:styleId="123">
    <w:name w:val="Название объекта12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12">
    <w:name w:val="Указатель11"/>
    <w:basedOn w:val="Normal"/>
    <w:qFormat/>
    <w:pPr>
      <w:suppressLineNumbers/>
    </w:pPr>
    <w:rPr>
      <w:rFonts w:cs="FreeSans;Times New Roman"/>
      <w:lang w:val="zxx" w:bidi="zxx"/>
    </w:rPr>
  </w:style>
  <w:style w:type="paragraph" w:styleId="113">
    <w:name w:val="Название объекта1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02">
    <w:name w:val="Указатель10"/>
    <w:basedOn w:val="Normal"/>
    <w:qFormat/>
    <w:pPr>
      <w:suppressLineNumbers/>
    </w:pPr>
    <w:rPr>
      <w:lang w:val="zxx" w:bidi="zxx"/>
    </w:rPr>
  </w:style>
  <w:style w:type="paragraph" w:styleId="81">
    <w:name w:val="Заголовок8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FreeSans;Times New Roman" w:cs="FreeSans;Times New Roman"/>
      <w:sz w:val="28"/>
      <w:szCs w:val="28"/>
    </w:rPr>
  </w:style>
  <w:style w:type="paragraph" w:styleId="103">
    <w:name w:val="Название объекта10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92">
    <w:name w:val="Указатель9"/>
    <w:basedOn w:val="Normal"/>
    <w:qFormat/>
    <w:pPr>
      <w:suppressLineNumbers/>
    </w:pPr>
    <w:rPr>
      <w:lang w:val="zxx" w:bidi="zxx"/>
    </w:rPr>
  </w:style>
  <w:style w:type="paragraph" w:styleId="71">
    <w:name w:val="Заголовок7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FreeSans;Times New Roman" w:cs="FreeSans;Times New Roman"/>
      <w:sz w:val="28"/>
      <w:szCs w:val="28"/>
    </w:rPr>
  </w:style>
  <w:style w:type="paragraph" w:styleId="93">
    <w:name w:val="Название объекта9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82">
    <w:name w:val="Указатель8"/>
    <w:basedOn w:val="Normal"/>
    <w:qFormat/>
    <w:pPr>
      <w:suppressLineNumbers/>
    </w:pPr>
    <w:rPr>
      <w:lang w:val="zxx" w:bidi="zxx"/>
    </w:rPr>
  </w:style>
  <w:style w:type="paragraph" w:styleId="61">
    <w:name w:val="Заголовок6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83">
    <w:name w:val="Название объекта8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72">
    <w:name w:val="Указатель7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51">
    <w:name w:val="Заголовок5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73">
    <w:name w:val="Название объекта7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62">
    <w:name w:val="Указатель6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41">
    <w:name w:val="Заголовок4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63">
    <w:name w:val="Название объекта6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52">
    <w:name w:val="Указатель5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31">
    <w:name w:val="Заголовок3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;Segoe UI"/>
      <w:sz w:val="28"/>
      <w:szCs w:val="28"/>
    </w:rPr>
  </w:style>
  <w:style w:type="paragraph" w:styleId="53">
    <w:name w:val="Название объекта5"/>
    <w:basedOn w:val="Normal"/>
    <w:qFormat/>
    <w:pPr>
      <w:suppressLineNumbers/>
      <w:spacing w:before="120" w:after="120"/>
    </w:pPr>
    <w:rPr>
      <w:rFonts w:cs="Droid Sans Devanagari;Segoe UI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Droid Sans Devanagari;Segoe UI"/>
      <w:lang w:val="zxx" w:bidi="zxx"/>
    </w:rPr>
  </w:style>
  <w:style w:type="paragraph" w:styleId="17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43">
    <w:name w:val="Название объекта4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Arial"/>
    </w:rPr>
  </w:style>
  <w:style w:type="paragraph" w:styleId="21">
    <w:name w:val="Заголовок2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32">
    <w:name w:val="Указатель3"/>
    <w:basedOn w:val="Normal"/>
    <w:qFormat/>
    <w:pPr>
      <w:suppressLineNumbers/>
    </w:pPr>
    <w:rPr>
      <w:rFonts w:cs="Arial"/>
    </w:rPr>
  </w:style>
  <w:style w:type="paragraph" w:styleId="33">
    <w:name w:val="Название объекта3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WW1">
    <w:name w:val="WW-Заголовок1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22">
    <w:name w:val="Указатель2"/>
    <w:basedOn w:val="Normal"/>
    <w:qFormat/>
    <w:pPr>
      <w:suppressLineNumbers/>
    </w:pPr>
    <w:rPr>
      <w:rFonts w:cs="Arial"/>
    </w:rPr>
  </w:style>
  <w:style w:type="paragraph" w:styleId="23">
    <w:name w:val="Название объекта2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8">
    <w:name w:val="Указатель1"/>
    <w:basedOn w:val="Normal"/>
    <w:qFormat/>
    <w:pPr>
      <w:suppressLineNumbers/>
    </w:pPr>
    <w:rPr>
      <w:rFonts w:cs="Arial"/>
    </w:rPr>
  </w:style>
  <w:style w:type="paragraph" w:styleId="19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23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623</TotalTime>
  <Application>LibreOffice/7.3.7.2$Linux_X86_64 LibreOffice_project/30$Build-2</Application>
  <AppVersion>15.0000</AppVersion>
  <Pages>4</Pages>
  <Words>535</Words>
  <Characters>4850</Characters>
  <CharactersWithSpaces>5336</CharactersWithSpaces>
  <Paragraphs>89</Paragraphs>
  <Company>HP_x005F_x0000_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2022-11-30T12:30:00Z</dcterms:created>
  <dc:creator>Южанина Татьяна Сергеевна</dc:creator>
  <dc:description/>
  <dc:language>ru-RU</dc:language>
  <cp:lastModifiedBy/>
  <cp:lastPrinted>2022-09-19T14:59:00Z</cp:lastPrinted>
  <dcterms:modified xsi:type="dcterms:W3CDTF">2023-02-28T07:54:32Z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