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ConsPlusNormal"/>
        <w:jc w:val="both"/>
        <w:rPr/>
      </w:pPr>
      <w:r>
        <w:rPr/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Федеральная служба по надзору в сфере </w:t>
      </w:r>
    </w:p>
    <w:p>
      <w:pPr>
        <w:pStyle w:val="ConsPlusNonformat"/>
        <w:ind w:left="4560" w:right="0" w:hanging="0"/>
        <w:jc w:val="right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образования и услуг </w:t>
      </w:r>
    </w:p>
    <w:p>
      <w:pPr>
        <w:pStyle w:val="Normal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ЗАЯВЛЕНИЕ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 переоформлении лицензии на осуществление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образовательной деятельности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Прошу переоформить Приложение № 1.1 к лицензии на осуществление образовательной деятельности от "15" октября 2015 г. № 1699 серия 90П01, номер бланка 0027501, выданной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Федеральной службой по надзору в сфере образования и науки</w:t>
      </w:r>
      <w:r>
        <w:rPr>
          <w:rFonts w:ascii="Times New Roman" w:hAnsi="Times New Roman"/>
          <w:sz w:val="24"/>
          <w:szCs w:val="24"/>
          <w:lang w:val="ru-RU"/>
        </w:rPr>
        <w:t xml:space="preserve">,      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(указываются реквизиты лицензии на осуществление образовательной деятельности)</w:t>
      </w:r>
    </w:p>
    <w:p>
      <w:pPr>
        <w:pStyle w:val="ConsPlusNonformat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в связи с изменением перечня образовательных услуг в случае прекращения оказания  образовательной услуги по реализации образовательных программ, указанных в   приложении к  лицензии  на  осуществление образовательной деятельности</w:t>
      </w:r>
    </w:p>
    <w:p>
      <w:pPr>
        <w:pStyle w:val="Normal"/>
        <w:spacing w:lineRule="auto" w:line="240" w:before="0" w:after="0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Полное и сокращенное  наименование  (в  том  числе фирменное наименование лицензиата):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Частное образовательное учреждение высшего образования Заокский христианский гуманитарно-экономический институт (ЧОУ ВО ЗХГЭИ)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Организационно-правовая форма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негосударственное образовательное учреждение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Место нахождения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 Заокский,  ул. Руднева, 43 А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</w:t>
      </w:r>
      <w:r>
        <w:rPr>
          <w:rFonts w:ascii="Times New Roman" w:hAnsi="Times New Roman"/>
          <w:sz w:val="24"/>
          <w:szCs w:val="24"/>
          <w:lang w:val="ru-RU"/>
        </w:rPr>
        <w:t>(указывается адрес места нахождения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места осуществления  образовательной  деятельности лицензиата: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301000, Российская Федерация, Тульская область, пос. Заокский, ул. Руднева, 43 А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Основной государственный регистрационный номер юридического лица (ОГРН): </w:t>
      </w:r>
    </w:p>
    <w:p>
      <w:pPr>
        <w:pStyle w:val="Normal"/>
        <w:spacing w:before="240" w:after="16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>1027103671099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документа, подтверждающего факт внесения сведений о юридическом лице в Единый государственный реестр юридических лиц: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Управление федеральной налоговой службы по Тульской области.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Свидетельство о внесении записи в Единый государственный реестр юридических лиц, Серия 71  № 001637690 от 27 апреля 2007 года, государственный регистрационный номер 2077100020700,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u w:val="single" w:color="000000"/>
          <w:lang w:val="ru-RU"/>
        </w:rPr>
        <w:t xml:space="preserve">адрес: </w:t>
      </w:r>
      <w:hyperlink r:id="rId2">
        <w:r>
          <w:rPr>
            <w:rStyle w:val="Hyperlink0"/>
            <w:lang w:val="ru-RU"/>
          </w:rPr>
          <w:t>Тургеневская улица, 66 Тула, Тульская область, Россия</w:t>
        </w:r>
      </w:hyperlink>
      <w:r>
        <w:rPr>
          <w:rFonts w:ascii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(4872) 31-16-30</w:t>
      </w:r>
    </w:p>
    <w:p>
      <w:pPr>
        <w:pStyle w:val="ConsPlusNonformat"/>
        <w:jc w:val="center"/>
        <w:rPr>
          <w:rFonts w:ascii="Times New Roman" w:hAnsi="Times New Roman"/>
          <w:lang w:val="ru-RU"/>
        </w:rPr>
      </w:pPr>
      <w:r>
        <w:rPr>
          <w:rFonts w:ascii="Times New Roman" w:hAnsi="Times New Roman"/>
          <w:lang w:val="ru-RU"/>
        </w:rPr>
        <w:t>(указываются реквизиты свидетельства о государственной регистрации лицензиата с указанием адреса места нахождения органа, осуществившего государственную регистрацию(в случае внесения изменений                                            в учредительный документ указываются реквизиты всех соответствующих листов записи Единого государственного реестра юридических лиц с указанием адреса места нахождения органа,                                          осуществившего государственную регистрацию))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Идентификационный номер налогоплательщика: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7126017284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Данные документа о постановке лицензиата на учет в налоговом органе: 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712601001 от 30 сентября 2002 года, свидетельство Серия 71 № 002389676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(код причины и дата постановки на учет лицензиата в налоговом органе,</w:t>
      </w:r>
    </w:p>
    <w:p>
      <w:pPr>
        <w:pStyle w:val="ConsPlusNonformat"/>
        <w:jc w:val="center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реквизиты свидетельства о постановке на налоговый учет лицензиата)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на оказание образовательных услуг по реализации образовательных программ по видам образования, по уровням образования, по профессиям, специальностям, направлениям подготовки (для  профессионального образования), по подвидам дополнительного образования:</w:t>
      </w:r>
    </w:p>
    <w:p>
      <w:pPr>
        <w:pStyle w:val="ConsPlusNormal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tbl>
      <w:tblPr>
        <w:jc w:val="left"/>
        <w:tblInd w:w="6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80" w:type="dxa"/>
          <w:left w:w="65" w:type="dxa"/>
          <w:bottom w:w="80" w:type="dxa"/>
          <w:right w:w="80" w:type="dxa"/>
        </w:tblCellMar>
      </w:tblPr>
      <w:tblGrid>
        <w:gridCol w:w="586"/>
        <w:gridCol w:w="1950"/>
        <w:gridCol w:w="2496"/>
        <w:gridCol w:w="1687"/>
        <w:gridCol w:w="2921"/>
      </w:tblGrid>
      <w:tr>
        <w:trPr>
          <w:trHeight w:val="300" w:hRule="atLeast"/>
          <w:cantSplit w:val="false"/>
        </w:trPr>
        <w:tc>
          <w:tcPr>
            <w:tcW w:w="9640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ind w:left="0" w:right="0" w:hanging="0"/>
              <w:jc w:val="center"/>
              <w:outlineLvl w:val="1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Профессиональное образование</w:t>
            </w:r>
          </w:p>
        </w:tc>
      </w:tr>
      <w:tr>
        <w:trPr>
          <w:trHeight w:val="1896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N п/п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Коды профессий, специальностей и направлений подготовки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 xml:space="preserve">Наименования профессий, специальностей и направлений подготовки 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Уровень образования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Присваиваемые по профессиям, специальностям и направлениям подготовки квалификации</w:t>
            </w:r>
          </w:p>
        </w:tc>
      </w:tr>
      <w:tr>
        <w:trPr>
          <w:trHeight w:val="300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1.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033400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Теология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2.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035700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Лингвистика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3.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050100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Педагогическое образование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4.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080100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Экономика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 экономики</w:t>
            </w:r>
          </w:p>
        </w:tc>
      </w:tr>
      <w:tr>
        <w:trPr>
          <w:trHeight w:val="938" w:hRule="atLeast"/>
          <w:cantSplit w:val="false"/>
        </w:trPr>
        <w:tc>
          <w:tcPr>
            <w:tcW w:w="58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5.</w:t>
            </w:r>
          </w:p>
        </w:tc>
        <w:tc>
          <w:tcPr>
            <w:tcW w:w="19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080200</w:t>
            </w:r>
          </w:p>
        </w:tc>
        <w:tc>
          <w:tcPr>
            <w:tcW w:w="24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Менеджмент</w:t>
            </w:r>
          </w:p>
        </w:tc>
        <w:tc>
          <w:tcPr>
            <w:tcW w:w="168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ConsPlusNormal"/>
              <w:spacing w:lineRule="auto" w:line="252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Высшее образование – бакалавриат</w:t>
            </w:r>
          </w:p>
        </w:tc>
        <w:tc>
          <w:tcPr>
            <w:tcW w:w="292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6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/>
                <w:sz w:val="24"/>
                <w:szCs w:val="24"/>
                <w:lang w:val="ru-RU"/>
              </w:rPr>
              <w:t>Бакалавр</w:t>
            </w:r>
          </w:p>
        </w:tc>
      </w:tr>
    </w:tbl>
    <w:p>
      <w:pPr>
        <w:pStyle w:val="ConsPlusNormal"/>
        <w:ind w:left="1" w:right="0" w:hanging="1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rmal"/>
        <w:jc w:val="center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Номер телефона (факса) лицензиата (48734) 2-01-20, (48734) 2-04-11 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Адрес электронной почты лицензиата </w:t>
      </w:r>
      <w:hyperlink r:id="rId3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u w:val="single" w:color="000000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Реквизиты  документа,   подтверждающего   уплату   государственной  пошлины лицензиатом  за  переоформление  лицензии  на осуществление образовательной деятельности  и (или) приложения к ней: </w:t>
      </w:r>
      <w:r>
        <w:rPr>
          <w:rFonts w:ascii="Times New Roman" w:hAnsi="Times New Roman"/>
          <w:sz w:val="24"/>
          <w:szCs w:val="24"/>
          <w:u w:val="single" w:color="000000"/>
          <w:lang w:val="ru-RU"/>
        </w:rPr>
        <w:t>ОАО «Сбербанк России» Отделение № 8604 Сбербанка России БИК 047003608 Платежное поручение № 228 от 24 сентября 2015 года; 3 500 руб.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Прошу  направлять  уведомления о  процедуре  лицензирования  в  электронной</w:t>
      </w:r>
    </w:p>
    <w:p>
      <w:pPr>
        <w:pStyle w:val="ConsPlusNonformat"/>
        <w:jc w:val="both"/>
        <w:rPr>
          <w:rStyle w:val="Hyperlink1"/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форме: да, </w:t>
      </w:r>
      <w:hyperlink r:id="rId4"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institute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@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zau</w:t>
        </w:r>
        <w:r>
          <w:rPr>
            <w:rStyle w:val="Link"/>
            <w:rFonts w:ascii="Times New Roman" w:hAnsi="Times New Roman"/>
            <w:sz w:val="24"/>
            <w:szCs w:val="24"/>
            <w:lang w:val="ru-RU"/>
          </w:rPr>
          <w:t>.</w:t>
        </w:r>
        <w:r>
          <w:rPr>
            <w:rStyle w:val="Hyperlink1"/>
            <w:rFonts w:ascii="Times New Roman" w:hAnsi="Times New Roman"/>
            <w:sz w:val="24"/>
            <w:szCs w:val="24"/>
            <w:lang w:val="en-US"/>
          </w:rPr>
          <w:t>ru</w:t>
        </w:r>
      </w:hyperlink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Дата заполнения "27" ноября 2015 г.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>Ректор</w:t>
        <w:tab/>
        <w:tab/>
        <w:tab/>
        <w:tab/>
        <w:t xml:space="preserve">       ___________________      Протасевич Борис Геннадьевич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                                                  </w:t>
      </w:r>
    </w:p>
    <w:p>
      <w:pPr>
        <w:pStyle w:val="ConsPlusNonformat"/>
        <w:jc w:val="both"/>
        <w:rPr>
          <w:rFonts w:ascii="Times New Roman" w:hAnsi="Times New Roman"/>
          <w:sz w:val="24"/>
          <w:szCs w:val="24"/>
          <w:lang w:val="ru-RU"/>
        </w:rPr>
      </w:pPr>
      <w:r>
        <w:rPr>
          <w:rFonts w:ascii="Times New Roman" w:hAnsi="Times New Roman"/>
          <w:sz w:val="24"/>
          <w:szCs w:val="24"/>
          <w:lang w:val="ru-RU"/>
        </w:rPr>
        <w:t xml:space="preserve">    </w:t>
      </w:r>
      <w:r>
        <w:rPr>
          <w:rFonts w:ascii="Times New Roman" w:hAnsi="Times New Roman"/>
          <w:sz w:val="24"/>
          <w:szCs w:val="24"/>
          <w:lang w:val="ru-RU"/>
        </w:rPr>
        <w:t>М.П.</w:t>
      </w:r>
    </w:p>
    <w:p>
      <w:pPr>
        <w:pStyle w:val="ConsPlusNonformat"/>
        <w:jc w:val="both"/>
        <w:rPr>
          <w:rFonts w:eastAsia="Times New Roman" w:cs="Times New Roman" w:ascii="Times New Roman" w:hAnsi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ConsPlusNonformat"/>
        <w:jc w:val="both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850" w:header="708" w:top="1134" w:footer="708" w:bottom="1134" w:gutter="0"/>
      <w:pgNumType w:fmt="decimal"/>
      <w:formProt w:val="false"/>
      <w:textDirection w:val="lrTb"/>
      <w:bidi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Footer"/>
      <w:bidi w:val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Arial Unicode MS" w:cs="Times New Roman"/>
        <w:color w:val="00000A"/>
        <w:lang w:val="ru-RU" w:eastAsia="zh-CN" w:bidi="hi-IN"/>
      </w:rPr>
    </w:rPrDefault>
    <w:pPrDefault>
      <w:pPr>
        <w:widowControl/>
        <w:suppressAutoHyphens w:val="false"/>
      </w:pPr>
    </w:pPrDefault>
  </w:docDefaults>
  <w:style w:type="paragraph" w:styleId="Normal" w:default="1">
    <w:name w:val="Normal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52" w:before="0" w:after="160"/>
      <w:ind w:left="0" w:right="0" w:hanging="0"/>
      <w:jc w:val="lef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ru-RU" w:eastAsia="en-US" w:bidi="ar-SA"/>
    </w:rPr>
  </w:style>
  <w:style w:type="character" w:styleId="DefaultParagraphFont" w:default="1">
    <w:name w:val="Default Paragraph Font"/>
    <w:rPr/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Link">
    <w:name w:val="Link"/>
    <w:rPr>
      <w:color w:val="0000FF"/>
      <w:u w:val="single" w:color="0000FF"/>
    </w:rPr>
  </w:style>
  <w:style w:type="character" w:styleId="Hyperlink0">
    <w:name w:val="Hyperlink.0"/>
    <w:basedOn w:val="Link"/>
    <w:rPr>
      <w:rFonts w:ascii="Times New Roman" w:hAnsi="Times New Roman" w:eastAsia="Times New Roman" w:cs="Times New Roman"/>
      <w:color w:val="000000"/>
      <w:sz w:val="24"/>
      <w:szCs w:val="24"/>
      <w:u w:val="single" w:color="000000"/>
    </w:rPr>
  </w:style>
  <w:style w:type="character" w:styleId="Hyperlink1">
    <w:name w:val="Hyperlink.1"/>
    <w:basedOn w:val="Link"/>
    <w:rPr>
      <w:rFonts w:ascii="Times New Roman" w:hAnsi="Times New Roman" w:eastAsia="Times New Roman" w:cs="Times New Roman"/>
      <w:sz w:val="24"/>
      <w:szCs w:val="24"/>
      <w:lang w:val="en-US"/>
    </w:rPr>
  </w:style>
  <w:style w:type="paragraph" w:styleId="Style15">
    <w:name w:val="Заголовок"/>
    <w:basedOn w:val="Normal"/>
    <w:next w:val="Style16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6">
    <w:name w:val="Основной текст"/>
    <w:basedOn w:val="Normal"/>
    <w:pPr>
      <w:spacing w:lineRule="auto" w:line="288" w:before="0" w:after="140"/>
    </w:pPr>
    <w:rPr/>
  </w:style>
  <w:style w:type="paragraph" w:styleId="Style17">
    <w:name w:val="Список"/>
    <w:basedOn w:val="Style16"/>
    <w:pPr/>
    <w:rPr>
      <w:rFonts w:cs="FreeSans"/>
    </w:rPr>
  </w:style>
  <w:style w:type="paragraph" w:styleId="Style18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pPr>
      <w:suppressLineNumbers/>
    </w:pPr>
    <w:rPr>
      <w:rFonts w:cs="FreeSans"/>
    </w:rPr>
  </w:style>
  <w:style w:type="paragraph" w:styleId="HeaderFooter">
    <w:name w:val="Header &amp; Footer"/>
    <w:pPr>
      <w:keepNext/>
      <w:keepLines w:val="false"/>
      <w:widowControl/>
      <w:pBdr>
        <w:top w:val="nil"/>
        <w:left w:val="nil"/>
        <w:bottom w:val="nil"/>
        <w:right w:val="nil"/>
      </w:pBdr>
      <w:shd w:fill="FFFFFF" w:val="clear"/>
      <w:tabs>
        <w:tab w:val="right" w:pos="9020" w:leader="none"/>
      </w:tabs>
      <w:suppressAutoHyphens w:val="false"/>
      <w:bidi w:val="0"/>
      <w:spacing w:lineRule="auto" w:line="240" w:before="0" w:after="0"/>
      <w:ind w:left="0" w:right="0" w:hanging="0"/>
      <w:jc w:val="lef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ru-RU" w:eastAsia="zh-CN" w:bidi="hi-IN"/>
    </w:rPr>
  </w:style>
  <w:style w:type="paragraph" w:styleId="ConsPlusNormal">
    <w:name w:val="ConsPlusNormal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Arial" w:hAnsi="Arial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ConsPlusNonformat">
    <w:name w:val="ConsPlusNonformat"/>
    <w:pPr>
      <w:keepNext/>
      <w:keepLines w:val="false"/>
      <w:widowControl w:val="false"/>
      <w:pBdr>
        <w:top w:val="nil"/>
        <w:left w:val="nil"/>
        <w:bottom w:val="nil"/>
        <w:right w:val="nil"/>
      </w:pBdr>
      <w:shd w:fill="FFFFFF" w:val="clear"/>
      <w:suppressAutoHyphens w:val="false"/>
      <w:bidi w:val="0"/>
      <w:spacing w:lineRule="auto" w:line="240" w:before="0" w:after="0"/>
      <w:ind w:left="0" w:right="0" w:hanging="0"/>
      <w:jc w:val="left"/>
    </w:pPr>
    <w:rPr>
      <w:rFonts w:ascii="Courier New" w:hAnsi="Courier New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0"/>
      <w:sz w:val="20"/>
      <w:szCs w:val="20"/>
      <w:u w:val="none" w:color="000000"/>
      <w:vertAlign w:val="baseline"/>
      <w:lang w:val="ru-RU" w:eastAsia="zh-CN" w:bidi="hi-IN"/>
    </w:rPr>
  </w:style>
  <w:style w:type="paragraph" w:styleId="Style20">
    <w:name w:val="Верхний колонтитул"/>
    <w:basedOn w:val="Normal"/>
    <w:pPr/>
    <w:rPr/>
  </w:style>
  <w:style w:type="paragraph" w:styleId="Style21">
    <w:name w:val="Нижний колонтитул"/>
    <w:basedOn w:val="Normal"/>
    <w:pPr/>
    <w:rPr/>
  </w:style>
  <w:style w:type="numbering" w:styleId="NoList" w:default="1">
    <w:name w:val="No List"/>
  </w:style>
  <w:style w:type="table" w:default="1" w:styleId="Table Normal">
    <w:name w:val="Table Normal"/>
    <w:tblPr>
      <w:tblInd w:type="dxa" w:w="0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url?sa=D&amp;oi=plus&amp;q=https://www.google.com/maps/place/%2525D0%2525A3%2525D0%2525BF%2525D1%252580%2525D0%2525B0%2525D0%2525B2%2525D0%2525BB%2525D0%2525B5%2525D0%2525BD%2525D0%2525B8%2525D0%2525B5%252B%2525D0%2525A4%2525D0%2525B5%2525D0%2525B4%2525D0%2525B5%2525D1%252580%2525D0%2525B0%2525D0%2525BB%2525D1%25258C%2525D0%2525BD%2525D0%2525BE%2525D0%2525B9%252B%2525D0%25259D%2525D0%2525B0%2525D0%2525BB%2525D0%2525BE%2525D0%2525B3%2525D0%2525BE%2525D0%2525B2%2525D0%2525BE%2525D0%2525B9%252B%2525D0%2525A1%2525D0%2525BB%2525D1%252583%2525D0%2525B6%2525D0%2525B1%2525D1%25258B%252B%2525D0%25259F%2525D0%25259E%252B%2525D0%2525A2%2525D1%252583%2525D0%2525BB%2525D1%25258C%2525D1%252581%2525D0%2525BA%2525D0%2525BE%2525D0%2525B9%252B%2525D0%25259E%2525D0%2525B1%2525D0%2525BB%2525D0%2525B0%2525D1%252581%2525D1%252582%2525D0%2525B8/data%253D%25214m2%25213m1%25211s0x41343f8f523df109:0x463425edc5d717d0?gl%253DRU%2526hl%253Dru" TargetMode="External"/><Relationship Id="rId3" Type="http://schemas.openxmlformats.org/officeDocument/2006/relationships/hyperlink" Target="mailto:institute@zau.ru" TargetMode="External"/><Relationship Id="rId4" Type="http://schemas.openxmlformats.org/officeDocument/2006/relationships/hyperlink" Target="mailto:institute@zau.ru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