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Федеральная служба по надзору в сфере </w:t>
      </w:r>
    </w:p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образования и услуг 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ЗАЯВЛЕНИЕ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 переоформлении лицензии на осуществление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образовательной деятельности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Прошу переоформить Приложение № 1.1 к лицензии на осуществление образовательной деятельности от "15" октября 2015 г. № 1699 серия 90П01, номер бланка 0027501, выданной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Федеральной службой по надзору в сфере образования и науки</w:t>
      </w:r>
      <w:r>
        <w:rPr>
          <w:rFonts w:ascii="Times New Roman" w:hAnsi="Times New Roman"/>
          <w:sz w:val="24"/>
          <w:szCs w:val="24"/>
          <w:lang w:val="ru-RU"/>
        </w:rPr>
        <w:t xml:space="preserve">,      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(указываются реквизиты лицензии на осуществление образовательной деятельности)</w:t>
      </w:r>
    </w:p>
    <w:p>
      <w:pPr>
        <w:pStyle w:val="ConsPlusNonformat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связи с изменением перечня образовательных услуг в случае прекращения оказания  образовательной услуги по реализации образовательных программ, указанных в   приложении к  лицензии  на  осуществление образовательной деятельности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Полное и сокращенное  наименование  (в  том  числе фирменное наименование лицензиата):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Частное образовательное учреждение высшего образования Заокский христианский гуманитарно-экономический институт (ЧОУ ВО ЗХГЭИ)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Организационно-правовая форма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негосударственное образовательное учреждение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Место нахождения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 Заокский,  ул. Руднева, 43 А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</w:t>
      </w:r>
      <w:r>
        <w:rPr>
          <w:rFonts w:ascii="Times New Roman" w:hAnsi="Times New Roman"/>
          <w:sz w:val="24"/>
          <w:szCs w:val="24"/>
          <w:lang w:val="ru-RU"/>
        </w:rPr>
        <w:t>(указывается адрес места нахождения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места осуществления  образовательной  деятельности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 Заокский, ул. Руднева, 43 А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Основной государственный регистрационный номер юридического лица (ОГРН): </w:t>
      </w:r>
    </w:p>
    <w:p>
      <w:pPr>
        <w:pStyle w:val="Normal"/>
        <w:spacing w:before="240" w:after="16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>1027103671099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документа, подтверждающего факт внесения сведений о юридическом лице в Единый государственный реестр юридических лиц: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Управление федеральной налоговой службы по Тульской области.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Свидетельство о внесении записи в Единый государственный реестр юридических лиц, Серия 71  № 001637690 от 27 апреля 2007 года, государственный регистрационный номер 2077100020700,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адрес: </w:t>
      </w:r>
      <w:hyperlink r:id="rId2">
        <w:r>
          <w:rPr>
            <w:rStyle w:val="Hyperlink0"/>
            <w:lang w:val="ru-RU"/>
          </w:rPr>
          <w:t>Тургеневская улица, 66 Тула, Тульская область, Россия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(4872) 31-16-30</w:t>
      </w:r>
    </w:p>
    <w:p>
      <w:pPr>
        <w:pStyle w:val="ConsPlusNonformat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(указываются реквизиты свидетельства о государственной регистрации лицензиата с указанием адреса места нахождения органа, осуществившего государственную регистрацию(в случае внесения изменений                                            в учредительный документ указываются реквизиты всех соответствующих листов записи Единого государственного реестра юридических лиц с указанием адреса места нахождения органа,                                          осуществившего государственную регистрацию))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Идентификационный номер налогоплательщика: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7126017284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 о постановке лицензиата на учет в налоговом органе: 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712601001 от 30 сентября 2002 года, свидетельство Серия 71 № 002389676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(код причины и дата постановки на учет лицензиата в налоговом органе,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реквизиты свидетельства о постановке на налоговый учет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 оказание образовательных услуг по реализации образовательных программ по видам образования, по уровням образования, по профессиям, специальностям, направлениям подготовки (для  профессионального образования), по подвидам дополнительного образования:</w:t>
      </w:r>
    </w:p>
    <w:p>
      <w:pPr>
        <w:pStyle w:val="ConsPlusNormal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jc w:val="left"/>
        <w:tblInd w:w="5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80" w:type="dxa"/>
          <w:left w:w="55" w:type="dxa"/>
          <w:bottom w:w="80" w:type="dxa"/>
          <w:right w:w="80" w:type="dxa"/>
        </w:tblCellMar>
      </w:tblPr>
      <w:tblGrid>
        <w:gridCol w:w="585"/>
        <w:gridCol w:w="1948"/>
        <w:gridCol w:w="2496"/>
        <w:gridCol w:w="1686"/>
        <w:gridCol w:w="2927"/>
      </w:tblGrid>
      <w:tr>
        <w:trPr>
          <w:trHeight w:val="300" w:hRule="atLeast"/>
          <w:cantSplit w:val="false"/>
        </w:trPr>
        <w:tc>
          <w:tcPr>
            <w:tcW w:w="964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ind w:left="0" w:right="0" w:hanging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Профессиональное образование</w:t>
            </w:r>
          </w:p>
        </w:tc>
      </w:tr>
      <w:tr>
        <w:trPr>
          <w:trHeight w:val="1896" w:hRule="atLeast"/>
          <w:cantSplit w:val="false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N п/п</w:t>
            </w:r>
          </w:p>
        </w:tc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Коды профессий, специальностей и направлений подготовки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Наименования профессий, специальностей и направлений подготовки </w:t>
            </w:r>
          </w:p>
        </w:tc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Уровень образования</w:t>
            </w:r>
          </w:p>
        </w:tc>
        <w:tc>
          <w:tcPr>
            <w:tcW w:w="2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Присваиваемые по профессиям, специальностям и направлениям подготовки квалификации</w:t>
            </w:r>
          </w:p>
        </w:tc>
      </w:tr>
      <w:tr>
        <w:trPr>
          <w:trHeight w:val="300" w:hRule="atLeast"/>
          <w:cantSplit w:val="false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938" w:hRule="atLeast"/>
          <w:cantSplit w:val="false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033400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Теология</w:t>
            </w:r>
          </w:p>
        </w:tc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035700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Лингвистика</w:t>
            </w:r>
          </w:p>
        </w:tc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050100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Педагогическое образование</w:t>
            </w:r>
          </w:p>
        </w:tc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080100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Экономика</w:t>
            </w:r>
          </w:p>
        </w:tc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 экономики</w:t>
            </w:r>
          </w:p>
        </w:tc>
      </w:tr>
      <w:tr>
        <w:trPr>
          <w:trHeight w:val="938" w:hRule="atLeast"/>
          <w:cantSplit w:val="false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1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080200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Менеджмент</w:t>
            </w:r>
          </w:p>
        </w:tc>
        <w:tc>
          <w:tcPr>
            <w:tcW w:w="1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</w:tbl>
    <w:p>
      <w:pPr>
        <w:pStyle w:val="ConsPlusNormal"/>
        <w:ind w:left="1" w:right="0" w:hanging="1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Номер телефона (факса) лицензиата (48734) 2-01-20, (48734) 2-04-11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электронной почты лицензиата </w:t>
      </w:r>
      <w:hyperlink r:id="rId3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Реквизиты  документа,   подтверждающего   уплату   государственной  пошлины лицензиатом  за  переоформление  лицензии  на осуществление образовательной деятельности  и (или) приложения к ней: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ОАО «Сбербанк России» Отделение № 8604 Сбербанка России БИК 047003608 Платежное поручение № 228 от 24 сентября 2015 года; 3 500 руб.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Прошу  направлять  уведомления о  процедуре  лицензирования  в  электронной</w:t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форме: да, </w:t>
      </w:r>
      <w:hyperlink r:id="rId4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Дата заполнения "27" ноября 2015 г.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Ректор</w:t>
        <w:tab/>
        <w:tab/>
        <w:tab/>
        <w:tab/>
        <w:t xml:space="preserve">       ___________________      Протасевич Борис Геннадьевич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sz w:val="24"/>
          <w:szCs w:val="24"/>
          <w:lang w:val="ru-RU"/>
        </w:rPr>
        <w:t>М.П.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bidi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ru-RU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ru-RU" w:eastAsia="en-US" w:bidi="ar-SA"/>
    </w:rPr>
  </w:style>
  <w:style w:type="character" w:styleId="DefaultParagraphFont" w:default="1">
    <w:name w:val="Default Paragraph Font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nk">
    <w:name w:val="Link"/>
    <w:rPr>
      <w:color w:val="0000FF"/>
      <w:u w:val="single" w:color="0000FF"/>
    </w:rPr>
  </w:style>
  <w:style w:type="character" w:styleId="Hyperlink0">
    <w:name w:val="Hyperlink.0"/>
    <w:basedOn w:val="Link"/>
    <w:rPr>
      <w:rFonts w:ascii="Times New Roman" w:hAnsi="Times New Roman" w:eastAsia="Times New Roman" w:cs="Times New Roman"/>
      <w:color w:val="000000"/>
      <w:sz w:val="24"/>
      <w:szCs w:val="24"/>
      <w:u w:val="single" w:color="000000"/>
    </w:rPr>
  </w:style>
  <w:style w:type="character" w:styleId="Hyperlink1">
    <w:name w:val="Hyperlink.1"/>
    <w:basedOn w:val="Link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ru-RU" w:eastAsia="zh-CN" w:bidi="hi-IN"/>
    </w:rPr>
  </w:style>
  <w:style w:type="paragraph" w:styleId="ConsPlusNormal">
    <w:name w:val="ConsPlusNormal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ConsPlusNonformat">
    <w:name w:val="ConsPlusNonformat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Style20">
    <w:name w:val="Верхний колонтитул"/>
    <w:basedOn w:val="Normal"/>
    <w:pPr/>
    <w:rPr/>
  </w:style>
  <w:style w:type="paragraph" w:styleId="Style21">
    <w:name w:val="Нижний колонтитул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url?sa=D&amp;oi=plus&amp;q=https://www.google.com/maps/place/%2525D0%2525A3%2525D0%2525BF%2525D1%252580%2525D0%2525B0%2525D0%2525B2%2525D0%2525BB%2525D0%2525B5%2525D0%2525BD%2525D0%2525B8%2525D0%2525B5%252B%2525D0%2525A4%2525D0%2525B5%2525D0%2525B4%2525D0%2525B5%2525D1%252580%2525D0%2525B0%2525D0%2525BB%2525D1%25258C%2525D0%2525BD%2525D0%2525BE%2525D0%2525B9%252B%2525D0%25259D%2525D0%2525B0%2525D0%2525BB%2525D0%2525BE%2525D0%2525B3%2525D0%2525BE%2525D0%2525B2%2525D0%2525BE%2525D0%2525B9%252B%2525D0%2525A1%2525D0%2525BB%2525D1%252583%2525D0%2525B6%2525D0%2525B1%2525D1%25258B%252B%2525D0%25259F%2525D0%25259E%252B%2525D0%2525A2%2525D1%252583%2525D0%2525BB%2525D1%25258C%2525D1%252581%2525D0%2525BA%2525D0%2525BE%2525D0%2525B9%252B%2525D0%25259E%2525D0%2525B1%2525D0%2525BB%2525D0%2525B0%2525D1%252581%2525D1%252582%2525D0%2525B8/data%253D%25214m2%25213m1%25211s0x41343f8f523df109:0x463425edc5d717d0?gl%253DRU%2526hl%253Dru" TargetMode="External"/><Relationship Id="rId3" Type="http://schemas.openxmlformats.org/officeDocument/2006/relationships/hyperlink" Target="mailto:institute@zau.ru" TargetMode="External"/><Relationship Id="rId4" Type="http://schemas.openxmlformats.org/officeDocument/2006/relationships/hyperlink" Target="mailto:institute@zau.r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