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AC9923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240" w:after="240"/>
        <w:ind w:firstLine="0" w:left="0" w:right="0"/>
        <w:outlineLvl w:val="1"/>
        <w:rPr>
          <w:rFonts w:ascii="Arial" w:hAnsi="Arial"/>
          <w:b w:val="1"/>
          <w:strike w:val="0"/>
          <w:sz w:val="24"/>
          <w:u w:val="none"/>
        </w:rPr>
      </w:pPr>
      <w:bookmarkStart w:id="0" w:name="_dx_frag_StartFragment"/>
      <w:bookmarkEnd w:id="0"/>
      <w:r>
        <w:rPr>
          <w:rFonts w:ascii="Arial" w:hAnsi="Arial"/>
          <w:b w:val="1"/>
          <w:strike w:val="0"/>
          <w:sz w:val="24"/>
          <w:u w:val="none"/>
        </w:rPr>
        <w:t>Отчет по изученным материалам: Архитектура CPU и типы данных SQL Server</w:t>
      </w:r>
    </w:p>
    <w:p>
      <w:pPr>
        <w:spacing w:before="240" w:after="240"/>
        <w:ind w:firstLine="0" w:left="0" w:right="0"/>
        <w:outlineLvl w:val="1"/>
        <w:rPr>
          <w:rFonts w:ascii="Arial" w:hAnsi="Arial"/>
          <w:b w:val="1"/>
          <w:strike w:val="0"/>
          <w:sz w:val="24"/>
          <w:u w:val="none"/>
        </w:rPr>
      </w:pPr>
    </w:p>
    <w:p>
      <w:pPr>
        <w:spacing w:before="240" w:after="240"/>
        <w:ind w:firstLine="0" w:left="0" w:right="0"/>
        <w:outlineLvl w:val="2"/>
        <w:rPr>
          <w:rFonts w:ascii="Arial" w:hAnsi="Arial"/>
          <w:b w:val="1"/>
          <w:strike w:val="0"/>
          <w:sz w:val="22"/>
          <w:u w:val="none"/>
        </w:rPr>
      </w:pPr>
      <w:r>
        <w:rPr>
          <w:rFonts w:ascii="Arial" w:hAnsi="Arial"/>
          <w:b w:val="1"/>
          <w:strike w:val="0"/>
          <w:sz w:val="22"/>
          <w:u w:val="none"/>
        </w:rPr>
        <w:t>Часть 1: Микроархитектура и принципы работы современных CPU</w:t>
      </w:r>
    </w:p>
    <w:p>
      <w:pPr>
        <w:spacing w:before="240" w:after="240"/>
        <w:ind w:firstLine="0" w:left="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В ходе изучения статьи были рассмотрены ключевые механизмы, обеспечивающие производительность современных процессоров: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Иерархия памяти и Кэширование (L1, L2, L3): Процессоры используют кэш-память для компенсации низкой скорости работы RAM. Кэш опирается на принципы временной и пространственной локальности: данные, находящиеся «рядом» с текущим запросом, превентивно загружаются в кэш. Было изучено различие между эксклюзивным (AMD) и неэксклюзивным (Intel) кэшированием.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Конвейеризация и Суперскалярность: Современные CPU являются суперскалярными, что позволяет им выполнять несколько инструкций за один такт. Механизм Out-of-Order Execution (OoO) позволяет процессору изменять порядок выполнения команд, если они не зависят друг от друга, чтобы избежать простоя исполнительных блоков.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Предсказание ветвлений (Branch Prediction): Для поддержания глубины конвейера используется блок предсказания, который «угадывает» путь выполнения инструкций if-else или циклов. Ошибка предсказания приводит к сбросу конвейера и потере тактов.</w:t>
      </w:r>
    </w:p>
    <w:p>
      <w:pPr>
        <w:numPr>
          <w:ilvl w:val="0"/>
          <w:numId w:val="1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Функциональные блоки: Внутри ядра выделяются специализированные устройства: ALU (целочисленные операции), FPU (вычисления с плавающей запятой) и AGU (генерация адресов памяти).</w:t>
      </w:r>
    </w:p>
    <w:p>
      <w:pPr>
        <w:spacing w:before="240" w:after="240"/>
        <w:ind w:firstLine="0" w:left="0" w:right="0"/>
        <w:outlineLvl w:val="2"/>
        <w:rPr>
          <w:rFonts w:ascii="Arial" w:hAnsi="Arial"/>
          <w:b w:val="1"/>
          <w:strike w:val="0"/>
          <w:sz w:val="22"/>
          <w:u w:val="none"/>
        </w:rPr>
      </w:pPr>
      <w:r>
        <w:rPr>
          <w:rFonts w:ascii="Arial" w:hAnsi="Arial"/>
          <w:b w:val="1"/>
          <w:strike w:val="0"/>
          <w:sz w:val="22"/>
          <w:u w:val="none"/>
        </w:rPr>
        <w:t>Часть 2: Типы данных в MS SQL Server (Transact-SQL)</w:t>
      </w:r>
    </w:p>
    <w:p>
      <w:pPr>
        <w:spacing w:before="240" w:after="240"/>
        <w:ind w:firstLine="0" w:left="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Вторая часть обучения была посвящена системе типов данных, которая определяет правила хранения и обработки информации в базах данных: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Точные числовые типы (Exact Numerics): Включают int, bigint, tinyint для целых чисел и decimal/numeric для операций, требующих абсолютной точности (финансы). Тип bit используется для логических значений.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Символьные строки (Character Strings):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varchar / char: для стандартных кодировок.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nvarchar / nchar: для поддержки Unicode (необходимы для хранения многоязычных данных, например, на армянском или русском языках).</w:t>
      </w:r>
    </w:p>
    <w:p>
      <w:pPr>
        <w:numPr>
          <w:ilvl w:val="1"/>
          <w:numId w:val="2"/>
        </w:numPr>
        <w:spacing w:before="240" w:after="240"/>
        <w:ind w:hanging="360" w:left="144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max версии (varchar(max)): для хранения больших объемов текстовых данных.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Приоритет типов данных (Data Type Precedence): При объединении выражений с разными типами SQL Server автоматически приводит тип с низким приоритетом к типу с более высоким приоритетом (например, varchar преобразуется в int).</w:t>
      </w:r>
    </w:p>
    <w:p>
      <w:pPr>
        <w:numPr>
          <w:ilvl w:val="0"/>
          <w:numId w:val="2"/>
        </w:numPr>
        <w:spacing w:before="240" w:after="240"/>
        <w:ind w:hanging="360" w:left="720" w:right="0"/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Специализированные типы: Были рассмотрены типы для работы с датами (datetime2, datetimeoffset), двоичные данные (varbinary), а также современные форматы, такие как xml и json.</w:t>
      </w:r>
    </w:p>
    <w:p>
      <w:pPr>
        <w:spacing w:before="240" w:after="240"/>
        <w:ind w:firstLine="0" w:left="0" w:right="0"/>
        <w:outlineLvl w:val="2"/>
        <w:rPr>
          <w:rFonts w:ascii="Arial" w:hAnsi="Arial"/>
          <w:b w:val="1"/>
          <w:strike w:val="0"/>
          <w:sz w:val="24"/>
          <w:u w:val="none"/>
        </w:rPr>
      </w:pPr>
      <w:r>
        <w:rPr>
          <w:rFonts w:ascii="Arial" w:hAnsi="Arial"/>
          <w:b w:val="1"/>
          <w:strike w:val="0"/>
          <w:sz w:val="24"/>
          <w:u w:val="none"/>
        </w:rPr>
        <w:t>Заключение</w:t>
      </w:r>
    </w:p>
    <w:p>
      <w:pPr>
        <w:rPr>
          <w:rFonts w:ascii="Arial" w:hAnsi="Arial"/>
          <w:b w:val="1"/>
          <w:strike w:val="0"/>
          <w:sz w:val="16"/>
          <w:u w:val="none"/>
        </w:rPr>
      </w:pPr>
      <w:r>
        <w:rPr>
          <w:rFonts w:ascii="Arial" w:hAnsi="Arial"/>
          <w:b w:val="1"/>
          <w:strike w:val="0"/>
          <w:sz w:val="16"/>
          <w:u w:val="none"/>
        </w:rPr>
        <w:t>Понимание микроархитектуры процессора (работы кэша и регистров) в сочетании с грамотным выбором типов данных в SQL позволяет проектировать высокопроизводительные системы, минимизируя задержки при обмене данными между CPU, оперативной памятью и дисковой подсистемой.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5B2F122F"/>
    <w:multiLevelType w:val="hybridMultilevel"/>
    <w:lvl w:ilvl="0" w:tplc="17BA7C8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07F7F16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39592D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8257E2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367E1A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219C18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58DE8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7591229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8B93D4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22D05CF2"/>
    <w:multiLevelType w:val="hybridMultilevel"/>
    <w:lvl w:ilvl="0" w:tplc="351DE8C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/>
      </w:rPr>
    </w:lvl>
    <w:lvl w:ilvl="1" w:tplc="56F0595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CBC0FF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82C27A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4D053F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D0FA8A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2A68B41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143BD62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571110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