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
        <w:jc w:val="center"/>
      </w:pPr>
      <w:r>
        <w:rPr>
          <w:b/>
          <w:bCs/>
          <w:color w:val="1A1A1A"/>
          <w:sz w:val="34"/>
          <w:szCs w:val="34"/>
        </w:rPr>
        <w:t xml:space="preserve">GlobalAfrica+</w:t>
      </w:r>
    </w:p>
    <w:p>
      <w:pPr>
        <w:pBdr>
          <w:bottom w:val="single" w:color="C5A54E" w:sz="16" w:space="6"/>
        </w:pBdr>
        <w:spacing w:after="0" w:before="40"/>
        <w:jc w:val="center"/>
      </w:pPr>
      <w:r>
        <w:rPr>
          <w:sz w:val="6"/>
          <w:szCs w:val="6"/>
        </w:rPr>
        <w:t xml:space="preserve"/>
      </w:r>
    </w:p>
    <w:p>
      <w:pPr>
        <w:spacing w:after="50" w:before="200"/>
        <w:jc w:val="center"/>
      </w:pPr>
      <w:r>
        <w:rPr>
          <w:b/>
          <w:bCs/>
          <w:color w:val="1A1A1A"/>
          <w:sz w:val="32"/>
          <w:szCs w:val="32"/>
        </w:rPr>
        <w:t xml:space="preserve">CONVENTION D'INVESTISSEMENT</w:t>
      </w:r>
    </w:p>
    <w:p>
      <w:pPr>
        <w:spacing w:after="30"/>
        <w:jc w:val="center"/>
      </w:pPr>
      <w:r>
        <w:rPr>
          <w:b/>
          <w:bCs/>
          <w:color w:val="8A7430"/>
          <w:sz w:val="26"/>
          <w:szCs w:val="26"/>
        </w:rPr>
        <w:t xml:space="preserve">TYPE : CONTREPARTIE (REWARD)</w:t>
      </w:r>
    </w:p>
    <w:p>
      <w:pPr>
        <w:spacing w:after="180"/>
        <w:jc w:val="center"/>
      </w:pPr>
      <w:r>
        <w:rPr>
          <w:i/>
          <w:iCs/>
          <w:color w:val="5F5E5A"/>
          <w:sz w:val="21"/>
          <w:szCs w:val="21"/>
        </w:rPr>
        <w:t xml:space="preserve">Financement avec contrepartie en nature — versement par jalons via séquestre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C4344E" w:sz="18" w:space="4"/>
              <w:bottom w:val="none"/>
              <w:right w:val="none"/>
            </w:tcBorders>
            <w:shd w:fill="FAE9EC" w:val="clear"/>
            <w:tcMar>
              <w:top w:type="dxa" w:w="120"/>
              <w:left w:type="dxa" w:w="180"/>
              <w:bottom w:type="dxa" w:w="120"/>
              <w:right w:type="dxa" w:w="180"/>
            </w:tcMar>
          </w:tcPr>
          <w:p>
            <w:pPr>
              <w:spacing w:line="272"/>
              <w:jc w:val="both"/>
            </w:pPr>
            <w:r>
              <w:rPr>
                <w:b/>
                <w:bCs/>
              </w:rPr>
              <w:t xml:space="preserve">Avertissement — modèle à faire valider. </w:t>
            </w:r>
            <w:r>
              <w:t xml:space="preserve">Ce document est un modèle de travail et ne constitue pas un conseil juridique. Il doit être relu et adapté par un avocat ou un juriste compétent au regard du droit applicable (OHADA / Sénégal, réglementation UEMOA) et du statut réglementaire de la plateforme et de l'opérateur de paiement, avant signature. Les champs en doré (ex. </w:t>
            </w:r>
            <w:r>
              <w:rPr>
                <w:b/>
                <w:bCs/>
                <w:color w:val="8A7430"/>
              </w:rPr>
              <w:t xml:space="preserve">[À COMPLÉTER]</w:t>
            </w:r>
            <w:r>
              <w:t xml:space="preserve">) sont à renseigner pour chaque opération.</w:t>
            </w:r>
          </w:p>
        </w:tc>
      </w:tr>
    </w:tbl>
    <w:p>
      <w:pPr>
        <w:spacing w:after="80"/>
      </w:pPr>
      <w:r>
        <w:t xml:space="preserve"/>
      </w:r>
    </w:p>
    <w:p>
      <w:pPr>
        <w:pStyle w:val="Heading1"/>
      </w:pPr>
      <w:r>
        <w:t xml:space="preserve">Entre les soussignés</w:t>
      </w:r>
    </w:p>
    <w:p>
      <w:pPr>
        <w:pBdr>
          <w:bottom w:val="single" w:color="C5A54E" w:sz="12" w:space="1"/>
        </w:pBdr>
        <w:spacing w:after="130" w:before="20"/>
      </w:pPr>
      <w:r>
        <w:t xml:space="preserve"/>
      </w:r>
    </w:p>
    <w:p>
      <w:pPr>
        <w:spacing w:after="120" w:line="276"/>
        <w:jc w:val="both"/>
      </w:pPr>
      <w:r>
        <w:rPr>
          <w:b/>
          <w:bCs/>
        </w:rPr>
        <w:t xml:space="preserve">le Contributeur — </w:t>
      </w:r>
      <w:r>
        <w:rPr>
          <w:b/>
          <w:bCs/>
          <w:color w:val="8A7430"/>
        </w:rPr>
        <w:t xml:space="preserve">[NOM / RAISON SOCIALE]</w:t>
      </w:r>
      <w:r>
        <w:t xml:space="preserve">, </w:t>
      </w:r>
      <w:r>
        <w:rPr>
          <w:b/>
          <w:bCs/>
          <w:color w:val="8A7430"/>
        </w:rPr>
        <w:t xml:space="preserve">[NÉ(E) LE / IMMATRICULÉ(E) SOUS]</w:t>
      </w:r>
      <w:r>
        <w:t xml:space="preserve">, demeurant / siège à </w:t>
      </w:r>
      <w:r>
        <w:rPr>
          <w:b/>
          <w:bCs/>
          <w:color w:val="8A7430"/>
        </w:rPr>
        <w:t xml:space="preserve">[ADRESSE, PAYS]</w:t>
      </w:r>
      <w:r>
        <w:t xml:space="preserve">, titulaire d'un compte vérifié sur GlobalAfrica+ (réf. KYC </w:t>
      </w:r>
      <w:r>
        <w:rPr>
          <w:b/>
          <w:bCs/>
          <w:color w:val="8A7430"/>
        </w:rPr>
        <w:t xml:space="preserve">[ID]</w:t>
      </w:r>
      <w:r>
        <w:t xml:space="preserve">),</w:t>
      </w:r>
    </w:p>
    <w:p>
      <w:pPr>
        <w:spacing w:after="120" w:line="276"/>
        <w:jc w:val="both"/>
      </w:pPr>
      <w:r>
        <w:t xml:space="preserve">ci-après « </w:t>
      </w:r>
      <w:r>
        <w:rPr>
          <w:b/>
          <w:bCs/>
        </w:rPr>
        <w:t xml:space="preserve">le Contributeur</w:t>
      </w:r>
      <w:r>
        <w:t xml:space="preserve"> », d'une part,</w:t>
      </w:r>
    </w:p>
    <w:p>
      <w:pPr>
        <w:spacing w:after="120" w:line="276"/>
        <w:jc w:val="both"/>
      </w:pPr>
      <w:r>
        <w:rPr>
          <w:b/>
          <w:bCs/>
        </w:rPr>
        <w:t xml:space="preserve">le Porteur — </w:t>
      </w:r>
      <w:r>
        <w:rPr>
          <w:b/>
          <w:bCs/>
          <w:color w:val="8A7430"/>
        </w:rPr>
        <w:t xml:space="preserve">[RAISON SOCIALE]</w:t>
      </w:r>
      <w:r>
        <w:t xml:space="preserve">, </w:t>
      </w:r>
      <w:r>
        <w:rPr>
          <w:b/>
          <w:bCs/>
          <w:color w:val="8A7430"/>
        </w:rPr>
        <w:t xml:space="preserve">[FORME]</w:t>
      </w:r>
      <w:r>
        <w:t xml:space="preserve">, RCCM </w:t>
      </w:r>
      <w:r>
        <w:rPr>
          <w:b/>
          <w:bCs/>
          <w:color w:val="8A7430"/>
        </w:rPr>
        <w:t xml:space="preserve">[N°]</w:t>
      </w:r>
      <w:r>
        <w:t xml:space="preserve">, identifiant fiscal </w:t>
      </w:r>
      <w:r>
        <w:rPr>
          <w:b/>
          <w:bCs/>
          <w:color w:val="8A7430"/>
        </w:rPr>
        <w:t xml:space="preserve">[NINEA / N°]</w:t>
      </w:r>
      <w:r>
        <w:t xml:space="preserve">, siège à </w:t>
      </w:r>
      <w:r>
        <w:rPr>
          <w:b/>
          <w:bCs/>
          <w:color w:val="8A7430"/>
        </w:rPr>
        <w:t xml:space="preserve">[ADRESSE, PAYS]</w:t>
      </w:r>
      <w:r>
        <w:t xml:space="preserve">, représenté(e) par </w:t>
      </w:r>
      <w:r>
        <w:rPr>
          <w:b/>
          <w:bCs/>
          <w:color w:val="8A7430"/>
        </w:rPr>
        <w:t xml:space="preserve">[NOM, QUALITÉ]</w:t>
      </w:r>
      <w:r>
        <w:t xml:space="preserve">,</w:t>
      </w:r>
    </w:p>
    <w:p>
      <w:pPr>
        <w:spacing w:after="120" w:line="276"/>
        <w:jc w:val="both"/>
      </w:pPr>
      <w:r>
        <w:t xml:space="preserve">ci-après « </w:t>
      </w:r>
      <w:r>
        <w:rPr>
          <w:b/>
          <w:bCs/>
        </w:rPr>
        <w:t xml:space="preserve">le Porteur</w:t>
      </w:r>
      <w:r>
        <w:t xml:space="preserve"> », d'autre part,</w:t>
      </w:r>
    </w:p>
    <w:p>
      <w:pPr>
        <w:spacing w:after="120" w:line="276"/>
        <w:jc w:val="both"/>
      </w:pPr>
      <w:r>
        <w:t xml:space="preserve">ci-après ensemble les « </w:t>
      </w:r>
      <w:r>
        <w:rPr>
          <w:b/>
          <w:bCs/>
        </w:rPr>
        <w:t xml:space="preserve">Parties</w:t>
      </w:r>
      <w:r>
        <w:t xml:space="preserve"> ».</w:t>
      </w:r>
    </w:p>
    <w:p>
      <w:pPr>
        <w:spacing w:after="120" w:line="276"/>
        <w:jc w:val="both"/>
      </w:pPr>
      <w:r>
        <w:rPr>
          <w:b/>
          <w:bCs/>
        </w:rPr>
        <w:t xml:space="preserve">Interviennent sans être Parties : </w:t>
      </w:r>
      <w:r>
        <w:t xml:space="preserve">la plateforme GlobalAfrica+ (mise en relation et vérification — la « </w:t>
      </w:r>
      <w:r>
        <w:rPr>
          <w:b/>
          <w:bCs/>
        </w:rPr>
        <w:t xml:space="preserve">Plateforme</w:t>
      </w:r>
      <w:r>
        <w:t xml:space="preserve"> ») et </w:t>
      </w:r>
      <w:r>
        <w:rPr>
          <w:b/>
          <w:bCs/>
          <w:color w:val="8A7430"/>
        </w:rPr>
        <w:t xml:space="preserve">[OPÉRATEUR DE PAIEMENT AGRÉÉ — ex. PayDunya]</w:t>
      </w:r>
      <w:r>
        <w:t xml:space="preserve"> (encaissement, cantonnement et décaissement — l'« </w:t>
      </w:r>
      <w:r>
        <w:rPr>
          <w:b/>
          <w:bCs/>
        </w:rPr>
        <w:t xml:space="preserve">Opérateur de paiement</w:t>
      </w:r>
      <w:r>
        <w:t xml:space="preserve"> »).</w:t>
      </w:r>
    </w:p>
    <w:p>
      <w:pPr>
        <w:pStyle w:val="Heading1"/>
      </w:pPr>
      <w:r>
        <w:t xml:space="preserve">Préambule</w:t>
      </w:r>
    </w:p>
    <w:p>
      <w:pPr>
        <w:pBdr>
          <w:bottom w:val="single" w:color="C5A54E" w:sz="12" w:space="1"/>
        </w:pBdr>
        <w:spacing w:after="130" w:before="20"/>
      </w:pPr>
      <w:r>
        <w:t xml:space="preserve"/>
      </w:r>
    </w:p>
    <w:p>
      <w:pPr>
        <w:spacing w:after="120" w:line="276"/>
        <w:jc w:val="both"/>
      </w:pPr>
      <w:r>
        <w:t xml:space="preserve">La Plateforme organise un financement sécurisé : les fonds sont placés sous séquestre puis libérés par Tranches, chacune conditionnée à l'atteinte d'un Jalon justifié. C'est dans ce cadre que les Parties sont convenues de ce qui suit.</w:t>
      </w:r>
    </w:p>
    <w:p>
      <w:pPr>
        <w:pStyle w:val="Heading2"/>
        <w:spacing w:after="70" w:before="230"/>
      </w:pPr>
      <w:r>
        <w:rPr>
          <w:b/>
          <w:bCs/>
        </w:rPr>
        <w:t xml:space="preserve">Article 1 — Définitions</w:t>
      </w:r>
    </w:p>
    <w:p>
      <w:pPr>
        <w:pStyle w:val="ListParagraph"/>
        <w:numPr>
          <w:ilvl w:val="0"/>
          <w:numId w:val="2"/>
        </w:numPr>
        <w:spacing w:after="50" w:line="272"/>
        <w:jc w:val="both"/>
      </w:pPr>
      <w:r>
        <w:rPr>
          <w:b/>
          <w:bCs/>
        </w:rPr>
        <w:t xml:space="preserve">Séquestre : </w:t>
      </w:r>
      <w:r>
        <w:t xml:space="preserve">compte de cantonnement tenu par l'Opérateur de paiement, conservant les fonds hors des mains du le porteur jusqu'à libération.</w:t>
      </w:r>
    </w:p>
    <w:p>
      <w:pPr>
        <w:pStyle w:val="ListParagraph"/>
        <w:numPr>
          <w:ilvl w:val="0"/>
          <w:numId w:val="2"/>
        </w:numPr>
        <w:spacing w:after="50" w:line="272"/>
        <w:jc w:val="both"/>
      </w:pPr>
      <w:r>
        <w:rPr>
          <w:b/>
          <w:bCs/>
        </w:rPr>
        <w:t xml:space="preserve">Jalon : </w:t>
      </w:r>
      <w:r>
        <w:t xml:space="preserve">étape vérifiable du Projet, associée à une tranche de financement et à des preuves attendues.</w:t>
      </w:r>
    </w:p>
    <w:p>
      <w:pPr>
        <w:pStyle w:val="ListParagraph"/>
        <w:numPr>
          <w:ilvl w:val="0"/>
          <w:numId w:val="2"/>
        </w:numPr>
        <w:spacing w:after="50" w:line="272"/>
        <w:jc w:val="both"/>
      </w:pPr>
      <w:r>
        <w:rPr>
          <w:b/>
          <w:bCs/>
        </w:rPr>
        <w:t xml:space="preserve">Tranche : </w:t>
      </w:r>
      <w:r>
        <w:t xml:space="preserve">fraction du Montant libérée au titre d'un Jalon validé.</w:t>
      </w:r>
    </w:p>
    <w:p>
      <w:pPr>
        <w:pStyle w:val="ListParagraph"/>
        <w:numPr>
          <w:ilvl w:val="0"/>
          <w:numId w:val="2"/>
        </w:numPr>
        <w:spacing w:after="50" w:line="272"/>
        <w:jc w:val="both"/>
      </w:pPr>
      <w:r>
        <w:rPr>
          <w:b/>
          <w:bCs/>
        </w:rPr>
        <w:t xml:space="preserve">Décaissement : </w:t>
      </w:r>
      <w:r>
        <w:t xml:space="preserve">versement effectif d'une Tranche après validation du Jalon.</w:t>
      </w:r>
    </w:p>
    <w:p>
      <w:pPr>
        <w:pStyle w:val="ListParagraph"/>
        <w:numPr>
          <w:ilvl w:val="0"/>
          <w:numId w:val="2"/>
        </w:numPr>
        <w:spacing w:after="50" w:line="272"/>
        <w:jc w:val="both"/>
      </w:pPr>
      <w:r>
        <w:rPr>
          <w:b/>
          <w:bCs/>
        </w:rPr>
        <w:t xml:space="preserve">Preuves : </w:t>
      </w:r>
      <w:r>
        <w:t xml:space="preserve">éléments justificatifs de la réalisation d'un Jalon.</w:t>
      </w:r>
    </w:p>
    <w:p>
      <w:pPr>
        <w:pStyle w:val="ListParagraph"/>
        <w:numPr>
          <w:ilvl w:val="0"/>
          <w:numId w:val="2"/>
        </w:numPr>
        <w:spacing w:after="50" w:line="272"/>
        <w:jc w:val="both"/>
      </w:pPr>
      <w:r>
        <w:rPr>
          <w:b/>
          <w:bCs/>
        </w:rPr>
        <w:t xml:space="preserve">Contrepartie : </w:t>
      </w:r>
      <w:r>
        <w:t xml:space="preserve">récompense non financière (produit, service ou avantage) due au Contributeur, décrite en Annexe 1.</w:t>
      </w:r>
    </w:p>
    <w:p>
      <w:pPr>
        <w:pStyle w:val="Heading2"/>
        <w:spacing w:after="70" w:before="230"/>
      </w:pPr>
      <w:r>
        <w:rPr>
          <w:b/>
          <w:bCs/>
        </w:rPr>
        <w:t xml:space="preserve">Article 2 — Objet</w:t>
      </w:r>
    </w:p>
    <w:p>
      <w:pPr>
        <w:spacing w:after="120" w:line="276"/>
        <w:jc w:val="both"/>
      </w:pPr>
      <w:r>
        <w:t xml:space="preserve">Définir les conditions dans lesquelles le Contributeur finance le Projet en échange d'une contrepartie non financière (Annexe 1 et Annexe 2).</w:t>
      </w:r>
    </w:p>
    <w:p>
      <w:pPr>
        <w:pStyle w:val="Heading2"/>
        <w:spacing w:after="70" w:before="230"/>
      </w:pPr>
      <w:r>
        <w:rPr>
          <w:b/>
          <w:bCs/>
        </w:rPr>
        <w:t xml:space="preserve">Article 3 — Montant et devise</w:t>
      </w:r>
    </w:p>
    <w:p>
      <w:pPr>
        <w:spacing w:after="110" w:line="276"/>
        <w:jc w:val="both"/>
      </w:pPr>
      <w:r>
        <w:rPr>
          <w:b/>
          <w:bCs/>
        </w:rPr>
        <w:t xml:space="preserve">3.1  </w:t>
      </w:r>
      <w:r>
        <w:t xml:space="preserve">Le montant de la contribution s'élève à </w:t>
      </w:r>
      <w:r>
        <w:rPr>
          <w:b/>
          <w:bCs/>
          <w:color w:val="8A7430"/>
        </w:rPr>
        <w:t xml:space="preserve">[MONTANT EN CHIFFRES ET LETTRES]</w:t>
      </w:r>
      <w:r>
        <w:t xml:space="preserve"> </w:t>
      </w:r>
      <w:r>
        <w:rPr>
          <w:b/>
          <w:bCs/>
          <w:color w:val="8A7430"/>
        </w:rPr>
        <w:t xml:space="preserve">[DEVISE]</w:t>
      </w:r>
      <w:r>
        <w:t xml:space="preserve"> (le « Montant » ou la « Contribution »), versé sur le Séquestre par </w:t>
      </w:r>
      <w:r>
        <w:rPr>
          <w:b/>
          <w:bCs/>
          <w:color w:val="8A7430"/>
        </w:rPr>
        <w:t xml:space="preserve">[MOYEN]</w:t>
      </w:r>
      <w:r>
        <w:t xml:space="preserve"> au plus tard le </w:t>
      </w:r>
      <w:r>
        <w:rPr>
          <w:b/>
          <w:bCs/>
          <w:color w:val="8A7430"/>
        </w:rPr>
        <w:t xml:space="preserve">[DATE]</w:t>
      </w:r>
      <w:r>
        <w:t xml:space="preserve">.</w:t>
      </w:r>
    </w:p>
    <w:p>
      <w:pPr>
        <w:pStyle w:val="Heading2"/>
        <w:spacing w:after="70" w:before="230"/>
      </w:pPr>
      <w:r>
        <w:rPr>
          <w:b/>
          <w:bCs/>
        </w:rPr>
        <w:t xml:space="preserve">Article 4 — Nature de l'opération et contrepartie</w:t>
      </w:r>
    </w:p>
    <w:p>
      <w:pPr>
        <w:spacing w:after="110" w:line="276"/>
        <w:jc w:val="both"/>
      </w:pPr>
      <w:r>
        <w:rPr>
          <w:b/>
          <w:bCs/>
        </w:rPr>
        <w:t xml:space="preserve">4.1  </w:t>
      </w:r>
      <w:r>
        <w:t xml:space="preserve">L'opération est un financement avec contrepartie en nature (préachat / récompense) : le Contributeur verse la Contribution en échange d'une contrepartie non financière décrite en Annexe 1.</w:t>
      </w:r>
    </w:p>
    <w:p>
      <w:pPr>
        <w:spacing w:after="110" w:line="276"/>
        <w:jc w:val="both"/>
      </w:pPr>
      <w:r>
        <w:rPr>
          <w:b/>
          <w:bCs/>
        </w:rPr>
        <w:t xml:space="preserve">4.2  </w:t>
      </w:r>
      <w:r>
        <w:t xml:space="preserve">La Contribution n'ouvre droit à aucun remboursement monétaire, aucun intérêt et aucun droit social ; la contrepartie consiste en la livraison de la récompense.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C5A54E" w:sz="18" w:space="4"/>
              <w:bottom w:val="none"/>
              <w:right w:val="none"/>
            </w:tcBorders>
            <w:shd w:fill="F5EFDD" w:val="clear"/>
            <w:tcMar>
              <w:top w:type="dxa" w:w="120"/>
              <w:left w:type="dxa" w:w="180"/>
              <w:bottom w:type="dxa" w:w="120"/>
              <w:right w:type="dxa" w:w="180"/>
            </w:tcMar>
          </w:tcPr>
          <w:p>
            <w:pPr>
              <w:spacing w:line="272"/>
              <w:jc w:val="both"/>
            </w:pPr>
            <w:r>
              <w:rPr>
                <w:b/>
                <w:bCs/>
              </w:rPr>
              <w:t xml:space="preserve">4.3 — Risque de livraison. </w:t>
            </w:r>
            <w:r>
              <w:t xml:space="preserve">La contrepartie peut être livrée avec retard ou, en cas d'échec du Projet, ne pas être livrée. Les modalités de restitution figurent à l'Article 9.</w:t>
            </w:r>
          </w:p>
        </w:tc>
      </w:tr>
    </w:tbl>
    <w:p>
      <w:pPr>
        <w:pStyle w:val="Heading2"/>
        <w:spacing w:after="70" w:before="230"/>
      </w:pPr>
      <w:r>
        <w:rPr>
          <w:b/>
          <w:bCs/>
        </w:rPr>
        <w:t xml:space="preserve">Article 5 — Séquestre des fonds</w:t>
      </w:r>
    </w:p>
    <w:p>
      <w:pPr>
        <w:spacing w:after="110" w:line="276"/>
        <w:jc w:val="both"/>
      </w:pPr>
      <w:r>
        <w:rPr>
          <w:b/>
          <w:bCs/>
        </w:rPr>
        <w:t xml:space="preserve">5.1  </w:t>
      </w:r>
      <w:r>
        <w:t xml:space="preserve">Le Montant est conservé sur le Séquestre. Le Porteur ne détient à aucun moment les fonds non libérés.</w:t>
      </w:r>
    </w:p>
    <w:p>
      <w:pPr>
        <w:spacing w:after="110" w:line="276"/>
        <w:jc w:val="both"/>
      </w:pPr>
      <w:r>
        <w:rPr>
          <w:b/>
          <w:bCs/>
        </w:rPr>
        <w:t xml:space="preserve">5.2  </w:t>
      </w:r>
      <w:r>
        <w:t xml:space="preserve">Seules les Tranches correspondant à des Jalons validés sont décaissées, sur le compte </w:t>
      </w:r>
      <w:r>
        <w:rPr>
          <w:b/>
          <w:bCs/>
          <w:color w:val="8A7430"/>
        </w:rPr>
        <w:t xml:space="preserve">[COMPTE DU LE PORTEUR]</w:t>
      </w:r>
      <w:r>
        <w:t xml:space="preserve">, au nom de l'entreprise.</w:t>
      </w:r>
    </w:p>
    <w:p>
      <w:pPr>
        <w:pStyle w:val="Heading2"/>
        <w:spacing w:after="70" w:before="230"/>
      </w:pPr>
      <w:r>
        <w:rPr>
          <w:b/>
          <w:bCs/>
        </w:rPr>
        <w:t xml:space="preserve">Article 6 — Jalons et calendrier de financement</w:t>
      </w:r>
    </w:p>
    <w:p>
      <w:pPr>
        <w:spacing w:after="120" w:line="276"/>
        <w:jc w:val="both"/>
      </w:pPr>
      <w:r>
        <w:t xml:space="preserve">Le financement est échelonné selon les Jalons ci-dessous ; le détail figure en Annexe 1, qui prévaut en cas d'écart.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1700"/>
        <w:gridCol w:w="1500"/>
        <w:gridCol w:w="1426"/>
      </w:tblGrid>
      <w:tr>
        <w:trPr>
          <w:tblHeader/>
        </w:trPr>
        <w:tc>
          <w:tcPr>
            <w:tcW w:type="dxa" w:w="11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Jalon</w:t>
            </w:r>
          </w:p>
        </w:tc>
        <w:tc>
          <w:tcPr>
            <w:tcW w:type="dxa" w:w="33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Description / livrable</w:t>
            </w:r>
          </w:p>
        </w:tc>
        <w:tc>
          <w:tcPr>
            <w:tcW w:type="dxa" w:w="17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Tranche</w:t>
            </w:r>
          </w:p>
        </w:tc>
        <w:tc>
          <w:tcPr>
            <w:tcW w:type="dxa" w:w="15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Échéance</w:t>
            </w:r>
          </w:p>
        </w:tc>
        <w:tc>
          <w:tcPr>
            <w:tcW w:type="dxa" w:w="1426"/>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Preuves</w:t>
            </w:r>
          </w:p>
        </w:tc>
      </w:tr>
      <w:tr>
        <w:tc>
          <w:tcPr>
            <w:tcW w:type="dxa" w:w="11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J1</w:t>
            </w:r>
          </w:p>
        </w:tc>
        <w:tc>
          <w:tcPr>
            <w:tcW w:type="dxa" w:w="33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[À COMPLÉTER]</w:t>
            </w:r>
          </w:p>
        </w:tc>
        <w:tc>
          <w:tcPr>
            <w:tcW w:type="dxa" w:w="17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[MONTANT]</w:t>
            </w:r>
          </w:p>
        </w:tc>
        <w:tc>
          <w:tcPr>
            <w:tcW w:type="dxa" w:w="15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1426"/>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11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J2</w:t>
            </w:r>
          </w:p>
        </w:tc>
        <w:tc>
          <w:tcPr>
            <w:tcW w:type="dxa" w:w="33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[À COMPLÉTER]</w:t>
            </w:r>
          </w:p>
        </w:tc>
        <w:tc>
          <w:tcPr>
            <w:tcW w:type="dxa" w:w="17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[MONTANT]</w:t>
            </w:r>
          </w:p>
        </w:tc>
        <w:tc>
          <w:tcPr>
            <w:tcW w:type="dxa" w:w="15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1426"/>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11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J3</w:t>
            </w:r>
          </w:p>
        </w:tc>
        <w:tc>
          <w:tcPr>
            <w:tcW w:type="dxa" w:w="33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[À COMPLÉTER]</w:t>
            </w:r>
          </w:p>
        </w:tc>
        <w:tc>
          <w:tcPr>
            <w:tcW w:type="dxa" w:w="17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[MONTANT]</w:t>
            </w:r>
          </w:p>
        </w:tc>
        <w:tc>
          <w:tcPr>
            <w:tcW w:type="dxa" w:w="15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1426"/>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r>
    </w:tbl>
    <w:p>
      <w:pPr>
        <w:pStyle w:val="Heading2"/>
        <w:spacing w:after="70" w:before="230"/>
      </w:pPr>
      <w:r>
        <w:rPr>
          <w:b/>
          <w:bCs/>
        </w:rPr>
        <w:t xml:space="preserve">Article 7 — Conditions de décaissement</w:t>
      </w:r>
    </w:p>
    <w:p>
      <w:pPr>
        <w:spacing w:after="110" w:line="276"/>
        <w:jc w:val="both"/>
      </w:pPr>
      <w:r>
        <w:rPr>
          <w:b/>
          <w:bCs/>
        </w:rPr>
        <w:t xml:space="preserve">7.1  </w:t>
      </w:r>
      <w:r>
        <w:t xml:space="preserve">Pour chaque Jalon, le porteur soumet les Preuves via la Plateforme.</w:t>
      </w:r>
    </w:p>
    <w:p>
      <w:pPr>
        <w:spacing w:after="110" w:line="276"/>
        <w:jc w:val="both"/>
      </w:pPr>
      <w:r>
        <w:rPr>
          <w:b/>
          <w:bCs/>
        </w:rPr>
        <w:t xml:space="preserve">7.2  </w:t>
      </w:r>
      <w:r>
        <w:t xml:space="preserve">Le décaissement est subordonné à : (i) Preuves conformes ; (ii) validation du Jalon sous </w:t>
      </w:r>
      <w:r>
        <w:rPr>
          <w:b/>
          <w:bCs/>
          <w:color w:val="8A7430"/>
        </w:rPr>
        <w:t xml:space="preserve">[X]</w:t>
      </w:r>
      <w:r>
        <w:t xml:space="preserve"> jours ouvrés ; (iii) absence d'alerte de conformité (KYC/AML).</w:t>
      </w:r>
    </w:p>
    <w:p>
      <w:pPr>
        <w:spacing w:after="110" w:line="276"/>
        <w:jc w:val="both"/>
      </w:pPr>
      <w:r>
        <w:rPr>
          <w:b/>
          <w:bCs/>
        </w:rPr>
        <w:t xml:space="preserve">7.3  </w:t>
      </w:r>
      <w:r>
        <w:t xml:space="preserve">Le décaissement validé est exécuté par l'Opérateur de paiement, une seule fois par Jalon (idempotence). Aucun décaissement pour un Jalon non atteint.</w:t>
      </w:r>
    </w:p>
    <w:p>
      <w:pPr>
        <w:pStyle w:val="Heading2"/>
        <w:spacing w:after="70" w:before="230"/>
      </w:pPr>
      <w:r>
        <w:rPr>
          <w:b/>
          <w:bCs/>
        </w:rPr>
        <w:t xml:space="preserve">Article 8 — Contrepartie et livraison</w:t>
      </w:r>
    </w:p>
    <w:p>
      <w:pPr>
        <w:spacing w:after="110" w:line="276"/>
        <w:jc w:val="both"/>
      </w:pPr>
      <w:r>
        <w:rPr>
          <w:b/>
          <w:bCs/>
        </w:rPr>
        <w:t xml:space="preserve">8.1  </w:t>
      </w:r>
      <w:r>
        <w:t xml:space="preserve">La contrepartie (produit / service / avantage), son palier et son délai de livraison sont décrits en Annexe 1.</w:t>
      </w:r>
    </w:p>
    <w:p>
      <w:pPr>
        <w:spacing w:after="110" w:line="276"/>
        <w:jc w:val="both"/>
      </w:pPr>
      <w:r>
        <w:rPr>
          <w:b/>
          <w:bCs/>
        </w:rPr>
        <w:t xml:space="preserve">8.2  </w:t>
      </w:r>
      <w:r>
        <w:t xml:space="preserve">Le Porteur s'engage à livrer la contrepartie conforme dans le délai prévu.</w:t>
      </w:r>
    </w:p>
    <w:p>
      <w:pPr>
        <w:spacing w:after="110" w:line="276"/>
        <w:jc w:val="both"/>
      </w:pPr>
      <w:r>
        <w:rPr>
          <w:b/>
          <w:bCs/>
        </w:rPr>
        <w:t xml:space="preserve">8.3  </w:t>
      </w:r>
      <w:r>
        <w:t xml:space="preserve">Les fonds, libérés par jalons, financent la production et la livraison de la contrepartie.</w:t>
      </w:r>
    </w:p>
    <w:p>
      <w:pPr>
        <w:pStyle w:val="Heading2"/>
        <w:spacing w:after="70" w:before="230"/>
      </w:pPr>
      <w:r>
        <w:rPr>
          <w:b/>
          <w:bCs/>
        </w:rPr>
        <w:t xml:space="preserve">Article 9 — Restitution en cas de non-livraison</w:t>
      </w:r>
    </w:p>
    <w:p>
      <w:pPr>
        <w:spacing w:after="110" w:line="276"/>
        <w:jc w:val="both"/>
      </w:pPr>
      <w:r>
        <w:rPr>
          <w:b/>
          <w:bCs/>
        </w:rPr>
        <w:t xml:space="preserve">9.1  </w:t>
      </w:r>
      <w:r>
        <w:t xml:space="preserve">Si la contrepartie n'est pas livrée dans le délai prévu majoré d'un délai de grâce de </w:t>
      </w:r>
      <w:r>
        <w:rPr>
          <w:b/>
          <w:bCs/>
          <w:color w:val="8A7430"/>
        </w:rPr>
        <w:t xml:space="preserve">[X]</w:t>
      </w:r>
      <w:r>
        <w:t xml:space="preserve"> jours, ou si elle est non conforme, le Contributeur peut demander le remboursement de la Contribution correspondante.</w:t>
      </w:r>
    </w:p>
    <w:p>
      <w:pPr>
        <w:spacing w:after="110" w:line="276"/>
        <w:jc w:val="both"/>
      </w:pPr>
      <w:r>
        <w:rPr>
          <w:b/>
          <w:bCs/>
        </w:rPr>
        <w:t xml:space="preserve">9.2  </w:t>
      </w:r>
      <w:r>
        <w:rPr>
          <w:b/>
          <w:bCs/>
        </w:rPr>
        <w:t xml:space="preserve">Tranches non décaissées. </w:t>
      </w:r>
      <w:r>
        <w:t xml:space="preserve">En cas d'abandon du Projet, les Tranches non décaissées sont restituées au Contributeur.</w:t>
      </w:r>
    </w:p>
    <w:p>
      <w:pPr>
        <w:spacing w:after="110" w:line="276"/>
        <w:jc w:val="both"/>
      </w:pPr>
      <w:r>
        <w:rPr>
          <w:b/>
          <w:bCs/>
        </w:rPr>
        <w:t xml:space="preserve">9.3  </w:t>
      </w:r>
      <w:r>
        <w:rPr>
          <w:b/>
          <w:bCs/>
        </w:rPr>
        <w:t xml:space="preserve">Fraude. </w:t>
      </w:r>
      <w:r>
        <w:t xml:space="preserve">En cas de détournement établi, restitution intégrale, sans préjudice de dommages-intérêts.</w:t>
      </w:r>
    </w:p>
    <w:p>
      <w:pPr>
        <w:pStyle w:val="Heading2"/>
        <w:spacing w:after="70" w:before="230"/>
      </w:pPr>
      <w:r>
        <w:rPr>
          <w:b/>
          <w:bCs/>
        </w:rPr>
        <w:t xml:space="preserve">Article 10 — Obligations de le porteur</w:t>
      </w:r>
    </w:p>
    <w:p>
      <w:pPr>
        <w:pStyle w:val="ListParagraph"/>
        <w:numPr>
          <w:ilvl w:val="0"/>
          <w:numId w:val="2"/>
        </w:numPr>
        <w:spacing w:after="50" w:line="272"/>
        <w:jc w:val="both"/>
      </w:pPr>
      <w:r>
        <w:t xml:space="preserve">Affecter les fonds exclusivement au Projet, sans détournement.</w:t>
      </w:r>
    </w:p>
    <w:p>
      <w:pPr>
        <w:pStyle w:val="ListParagraph"/>
        <w:numPr>
          <w:ilvl w:val="0"/>
          <w:numId w:val="2"/>
        </w:numPr>
        <w:spacing w:after="50" w:line="272"/>
        <w:jc w:val="both"/>
      </w:pPr>
      <w:r>
        <w:t xml:space="preserve">Réaliser les Jalons et fournir des Preuves sincères et vérifiables.</w:t>
      </w:r>
    </w:p>
    <w:p>
      <w:pPr>
        <w:pStyle w:val="ListParagraph"/>
        <w:numPr>
          <w:ilvl w:val="0"/>
          <w:numId w:val="2"/>
        </w:numPr>
        <w:spacing w:after="50" w:line="272"/>
        <w:jc w:val="both"/>
      </w:pPr>
      <w:r>
        <w:t xml:space="preserve">Assurer un reporting régulier via la Plateforme et maintenir ses informations KYC à jour.</w:t>
      </w:r>
    </w:p>
    <w:p>
      <w:pPr>
        <w:pStyle w:val="ListParagraph"/>
        <w:numPr>
          <w:ilvl w:val="0"/>
          <w:numId w:val="2"/>
        </w:numPr>
        <w:spacing w:after="50" w:line="272"/>
        <w:jc w:val="both"/>
      </w:pPr>
      <w:r>
        <w:t xml:space="preserve">Produire et livrer la contrepartie conforme dans le délai convenu.</w:t>
      </w:r>
    </w:p>
    <w:p>
      <w:pPr>
        <w:pStyle w:val="Heading2"/>
        <w:spacing w:after="70" w:before="230"/>
      </w:pPr>
      <w:r>
        <w:rPr>
          <w:b/>
          <w:bCs/>
        </w:rPr>
        <w:t xml:space="preserve">Article 11 — Obligations de le contributeur</w:t>
      </w:r>
    </w:p>
    <w:p>
      <w:pPr>
        <w:pStyle w:val="ListParagraph"/>
        <w:numPr>
          <w:ilvl w:val="0"/>
          <w:numId w:val="2"/>
        </w:numPr>
        <w:spacing w:after="50" w:line="272"/>
        <w:jc w:val="both"/>
      </w:pPr>
      <w:r>
        <w:t xml:space="preserve">Verser le Montant sur le Séquestre selon l'Article 3.</w:t>
      </w:r>
    </w:p>
    <w:p>
      <w:pPr>
        <w:pStyle w:val="ListParagraph"/>
        <w:numPr>
          <w:ilvl w:val="0"/>
          <w:numId w:val="2"/>
        </w:numPr>
        <w:spacing w:after="50" w:line="272"/>
        <w:jc w:val="both"/>
      </w:pPr>
      <w:r>
        <w:t xml:space="preserve">Procéder aux validations de Jalons dans les délais et satisfaire à ses obligations KYC/AML.</w:t>
      </w:r>
    </w:p>
    <w:p>
      <w:pPr>
        <w:pStyle w:val="ListParagraph"/>
        <w:numPr>
          <w:ilvl w:val="0"/>
          <w:numId w:val="2"/>
        </w:numPr>
        <w:spacing w:after="50" w:line="272"/>
        <w:jc w:val="both"/>
      </w:pPr>
      <w:r>
        <w:t xml:space="preserve">Reconnaître que la contrepartie est non financière et soumise à un risque de retard ou de non-livraison.</w:t>
      </w:r>
    </w:p>
    <w:p>
      <w:pPr>
        <w:pStyle w:val="Heading2"/>
        <w:spacing w:after="70" w:before="230"/>
      </w:pPr>
      <w:r>
        <w:rPr>
          <w:b/>
          <w:bCs/>
        </w:rPr>
        <w:t xml:space="preserve">Article 12 — Déclarations et garanties</w:t>
      </w:r>
    </w:p>
    <w:p>
      <w:pPr>
        <w:spacing w:after="110" w:line="276"/>
        <w:jc w:val="both"/>
      </w:pPr>
      <w:r>
        <w:rPr>
          <w:b/>
          <w:bCs/>
        </w:rPr>
        <w:t xml:space="preserve">  </w:t>
      </w:r>
      <w:r>
        <w:rPr>
          <w:b/>
          <w:bCs/>
        </w:rPr>
        <w:t xml:space="preserve">Le Porteur </w:t>
      </w:r>
      <w:r>
        <w:t xml:space="preserve">déclare que le Projet est réel, que les informations sont exactes et qu'il dispose des autorisations nécessaires. </w:t>
      </w:r>
      <w:r>
        <w:rPr>
          <w:b/>
          <w:bCs/>
        </w:rPr>
        <w:t xml:space="preserve">Le Contributeur </w:t>
      </w:r>
      <w:r>
        <w:t xml:space="preserve">déclare que les fonds sont d'origine licite et qu'il agit en son nom, sauf mandat déclaré. Chaque Partie déclare avoir la capacité de contracter.</w:t>
      </w:r>
    </w:p>
    <w:p>
      <w:pPr>
        <w:pStyle w:val="Heading2"/>
        <w:spacing w:after="70" w:before="230"/>
      </w:pPr>
      <w:r>
        <w:rPr>
          <w:b/>
          <w:bCs/>
        </w:rPr>
        <w:t xml:space="preserve">Article 13 — Conformité (KYC / AML / LCB-FT)</w:t>
      </w:r>
    </w:p>
    <w:p>
      <w:pPr>
        <w:spacing w:after="110" w:line="276"/>
        <w:jc w:val="both"/>
      </w:pPr>
      <w:r>
        <w:rPr>
          <w:b/>
          <w:bCs/>
        </w:rPr>
        <w:t xml:space="preserve">  </w:t>
      </w:r>
      <w:r>
        <w:t xml:space="preserve">La présente est subordonnée à la vérification d'identité des deux Parties et à l'absence d'alerte de criblage AML. La Plateforme et l'Opérateur de paiement sont tenus à des obligations de vigilance et, le cas échéant, de déclaration de soupçon auprès de l'autorité compétente (CENTIF), à caractère confidentiel.</w:t>
      </w:r>
    </w:p>
    <w:p>
      <w:pPr>
        <w:pStyle w:val="Heading2"/>
        <w:spacing w:after="70" w:before="230"/>
      </w:pPr>
      <w:r>
        <w:rPr>
          <w:b/>
          <w:bCs/>
        </w:rPr>
        <w:t xml:space="preserve">Article 14 — Rôle de la Plateforme et de l'Opérateur de paiement</w:t>
      </w:r>
    </w:p>
    <w:p>
      <w:pPr>
        <w:spacing w:after="110" w:line="276"/>
        <w:jc w:val="both"/>
      </w:pPr>
      <w:r>
        <w:rPr>
          <w:b/>
          <w:bCs/>
        </w:rPr>
        <w:t xml:space="preserve">  </w:t>
      </w:r>
      <w:r>
        <w:t xml:space="preserve">La Plateforme intervient comme tiers de mise en relation et de vérification ; elle n'est pas partie aux fonds et n'assume pas la bonne fin du Projet. L'Opérateur de paiement assure, en qualité d'agréé, l'encaissement, le cantonnement et le décaissement. L'usage des services est soumis à leurs conditions générales respectives.</w:t>
      </w:r>
    </w:p>
    <w:p>
      <w:pPr>
        <w:pStyle w:val="Heading2"/>
        <w:spacing w:after="70" w:before="230"/>
      </w:pPr>
      <w:r>
        <w:rPr>
          <w:b/>
          <w:bCs/>
        </w:rPr>
        <w:t xml:space="preserve">Article 15 — Défaillance, suspension et résiliation</w:t>
      </w:r>
    </w:p>
    <w:p>
      <w:pPr>
        <w:spacing w:after="110" w:line="276"/>
        <w:jc w:val="both"/>
      </w:pPr>
      <w:r>
        <w:rPr>
          <w:b/>
          <w:bCs/>
        </w:rPr>
        <w:t xml:space="preserve">  </w:t>
      </w:r>
      <w:r>
        <w:t xml:space="preserve">En cas de manquement non réparé sous </w:t>
      </w:r>
      <w:r>
        <w:rPr>
          <w:b/>
          <w:bCs/>
          <w:color w:val="8A7430"/>
        </w:rPr>
        <w:t xml:space="preserve">[X]</w:t>
      </w:r>
      <w:r>
        <w:t xml:space="preserve"> jours après mise en demeure, l'autre Partie peut suspendre l'exécution ou résilier de plein droit. La résiliation entraîne la restitution des Tranches non décaissées selon l'article de remboursement, sans préjudice des recours pour fonds détournés.</w:t>
      </w:r>
    </w:p>
    <w:p>
      <w:pPr>
        <w:pStyle w:val="Heading2"/>
        <w:spacing w:after="70" w:before="230"/>
      </w:pPr>
      <w:r>
        <w:rPr>
          <w:b/>
          <w:bCs/>
        </w:rPr>
        <w:t xml:space="preserve">Article 16 — Force majeure</w:t>
      </w:r>
    </w:p>
    <w:p>
      <w:pPr>
        <w:spacing w:after="120" w:line="276"/>
        <w:jc w:val="both"/>
      </w:pPr>
      <w:r>
        <w:t xml:space="preserve">Aucune Partie n'est responsable d'un manquement résultant d'un cas de force majeure. Au-delà de </w:t>
      </w:r>
      <w:r>
        <w:rPr>
          <w:b/>
          <w:bCs/>
          <w:color w:val="8A7430"/>
        </w:rPr>
        <w:t xml:space="preserve">[X]</w:t>
      </w:r>
      <w:r>
        <w:t xml:space="preserve"> jours, les Parties peuvent résilier, le solde séquestré étant restitué à le contributeur.</w:t>
      </w:r>
    </w:p>
    <w:p>
      <w:pPr>
        <w:pStyle w:val="Heading2"/>
        <w:spacing w:after="70" w:before="230"/>
      </w:pPr>
      <w:r>
        <w:rPr>
          <w:b/>
          <w:bCs/>
        </w:rPr>
        <w:t xml:space="preserve">Article 17 — Données personnelles et confidentialité</w:t>
      </w:r>
    </w:p>
    <w:p>
      <w:pPr>
        <w:spacing w:after="120" w:line="276"/>
        <w:jc w:val="both"/>
      </w:pPr>
      <w:r>
        <w:t xml:space="preserve">Les Parties traitent les données conformément à la réglementation applicable (RGPD le cas échéant) et préservent la confidentialité, sous réserve des obligations légales de conservation et de déclaration.</w:t>
      </w:r>
    </w:p>
    <w:p>
      <w:pPr>
        <w:pStyle w:val="Heading2"/>
        <w:spacing w:after="70" w:before="230"/>
      </w:pPr>
      <w:r>
        <w:rPr>
          <w:b/>
          <w:bCs/>
        </w:rPr>
        <w:t xml:space="preserve">Article 18 — Droit applicable et règlement des litiges</w:t>
      </w:r>
    </w:p>
    <w:p>
      <w:pPr>
        <w:spacing w:after="110" w:line="276"/>
        <w:jc w:val="both"/>
      </w:pPr>
      <w:r>
        <w:rPr>
          <w:b/>
          <w:bCs/>
        </w:rPr>
        <w:t xml:space="preserve">  </w:t>
      </w:r>
      <w:r>
        <w:t xml:space="preserve">La présente est régie par le droit </w:t>
      </w:r>
      <w:r>
        <w:rPr>
          <w:b/>
          <w:bCs/>
          <w:color w:val="8A7430"/>
        </w:rPr>
        <w:t xml:space="preserve">[SÉNÉGALAIS / OHADA]</w:t>
      </w:r>
      <w:r>
        <w:t xml:space="preserve">. Tout différend fera l'objet d'une tentative de règlement amiable ; à défaut sous </w:t>
      </w:r>
      <w:r>
        <w:rPr>
          <w:b/>
          <w:bCs/>
          <w:color w:val="8A7430"/>
        </w:rPr>
        <w:t xml:space="preserve">[X]</w:t>
      </w:r>
      <w:r>
        <w:t xml:space="preserve"> jours, il sera porté devant </w:t>
      </w:r>
      <w:r>
        <w:rPr>
          <w:b/>
          <w:bCs/>
          <w:color w:val="8A7430"/>
        </w:rPr>
        <w:t xml:space="preserve">[JURIDICTION / ARBITRAGE]</w:t>
      </w:r>
      <w:r>
        <w:t xml:space="preserve">.</w:t>
      </w:r>
    </w:p>
    <w:p>
      <w:pPr>
        <w:pStyle w:val="Heading2"/>
        <w:spacing w:after="70" w:before="230"/>
      </w:pPr>
      <w:r>
        <w:rPr>
          <w:b/>
          <w:bCs/>
        </w:rPr>
        <w:t xml:space="preserve">Article 19 — Dispositions diverses</w:t>
      </w:r>
    </w:p>
    <w:p>
      <w:pPr>
        <w:pStyle w:val="ListParagraph"/>
        <w:numPr>
          <w:ilvl w:val="0"/>
          <w:numId w:val="2"/>
        </w:numPr>
        <w:spacing w:after="50" w:line="272"/>
        <w:jc w:val="both"/>
      </w:pPr>
      <w:r>
        <w:t xml:space="preserve">La présente, avec ses annexes, exprime l'intégralité de l'accord.</w:t>
      </w:r>
    </w:p>
    <w:p>
      <w:pPr>
        <w:pStyle w:val="ListParagraph"/>
        <w:numPr>
          <w:ilvl w:val="0"/>
          <w:numId w:val="2"/>
        </w:numPr>
        <w:spacing w:after="50" w:line="272"/>
        <w:jc w:val="both"/>
      </w:pPr>
      <w:r>
        <w:t xml:space="preserve">Toute modification fait l'objet d'un avenant écrit signé.</w:t>
      </w:r>
    </w:p>
    <w:p>
      <w:pPr>
        <w:pStyle w:val="ListParagraph"/>
        <w:numPr>
          <w:ilvl w:val="0"/>
          <w:numId w:val="2"/>
        </w:numPr>
        <w:spacing w:after="50" w:line="272"/>
        <w:jc w:val="both"/>
      </w:pPr>
      <w:r>
        <w:t xml:space="preserve">La nullité d'une clause n'affecte pas les autres ; les Parties acceptent la signature électronique via la Plateforme.</w:t>
      </w:r>
    </w:p>
    <w:p>
      <w:pPr>
        <w:pageBreakBefore/>
        <w:spacing w:after="80"/>
      </w:pPr>
      <w:r>
        <w:rPr>
          <w:b/>
          <w:bCs/>
          <w:color w:val="1A1A1A"/>
          <w:sz w:val="26"/>
          <w:szCs w:val="26"/>
        </w:rPr>
        <w:t xml:space="preserve">Signatures</w:t>
      </w:r>
    </w:p>
    <w:p>
      <w:pPr>
        <w:spacing w:after="120" w:line="276"/>
        <w:jc w:val="both"/>
      </w:pPr>
      <w:r>
        <w:t xml:space="preserve">Fait à </w:t>
      </w:r>
      <w:r>
        <w:rPr>
          <w:b/>
          <w:bCs/>
          <w:color w:val="8A7430"/>
        </w:rPr>
        <w:t xml:space="preserve">[LIEU]</w:t>
      </w:r>
      <w:r>
        <w:t xml:space="preserve">, le </w:t>
      </w:r>
      <w:r>
        <w:rPr>
          <w:b/>
          <w:bCs/>
          <w:color w:val="8A7430"/>
        </w:rPr>
        <w:t xml:space="preserve">[DATE]</w:t>
      </w:r>
      <w:r>
        <w:t xml:space="preserve">, en deux exemplaires (ou par voie électronique).</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Le Contributeur</w:t>
            </w:r>
          </w:p>
        </w:tc>
        <w:tc>
          <w:tcPr>
            <w:tcW w:type="dxa" w:w="4513"/>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Le Porteur</w:t>
            </w:r>
          </w:p>
        </w:tc>
      </w:tr>
      <w:tr>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Nom : …………………………………</w:t>
            </w:r>
          </w:p>
        </w:tc>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Nom / Raison sociale : ……………………</w:t>
            </w:r>
          </w:p>
        </w:tc>
      </w:tr>
      <w:tr>
        <w:tc>
          <w:tcPr>
            <w:tcW w:type="dxa" w:w="4513"/>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Qualité : ………………………………</w:t>
            </w:r>
          </w:p>
        </w:tc>
        <w:tc>
          <w:tcPr>
            <w:tcW w:type="dxa" w:w="4513"/>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Représentant : …………………………</w:t>
            </w:r>
          </w:p>
        </w:tc>
      </w:tr>
      <w:tr>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Date : …………………………………</w:t>
            </w:r>
          </w:p>
        </w:tc>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 : …………………………………</w:t>
            </w:r>
          </w:p>
        </w:tc>
      </w:tr>
      <w:tr>
        <w:tc>
          <w:tcPr>
            <w:tcW w:type="dxa" w:w="4513"/>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Signature :</w:t>
            </w:r>
          </w:p>
        </w:tc>
        <w:tc>
          <w:tcPr>
            <w:tcW w:type="dxa" w:w="4513"/>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Signature :</w:t>
            </w:r>
          </w:p>
        </w:tc>
      </w:tr>
      <w:tr>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 </w:t>
            </w:r>
          </w:p>
        </w:tc>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 </w:t>
            </w:r>
          </w:p>
        </w:tc>
      </w:tr>
    </w:tbl>
    <w:p>
      <w:pPr>
        <w:pStyle w:val="Heading1"/>
        <w:pageBreakBefore/>
      </w:pPr>
      <w:r>
        <w:t xml:space="preserve">Annexe 1 — Échéancier des jalons et modalités spécifiques</w:t>
      </w:r>
    </w:p>
    <w:p>
      <w:pPr>
        <w:pBdr>
          <w:bottom w:val="single" w:color="C5A54E" w:sz="12" w:space="1"/>
        </w:pBdr>
        <w:spacing w:after="130" w:before="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1700"/>
        <w:gridCol w:w="1500"/>
        <w:gridCol w:w="2026"/>
      </w:tblGrid>
      <w:tr>
        <w:trPr>
          <w:tblHeader/>
        </w:trPr>
        <w:tc>
          <w:tcPr>
            <w:tcW w:type="dxa" w:w="9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Jalon</w:t>
            </w:r>
          </w:p>
        </w:tc>
        <w:tc>
          <w:tcPr>
            <w:tcW w:type="dxa" w:w="29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Livrable / critère</w:t>
            </w:r>
          </w:p>
        </w:tc>
        <w:tc>
          <w:tcPr>
            <w:tcW w:type="dxa" w:w="17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Tranche</w:t>
            </w:r>
          </w:p>
        </w:tc>
        <w:tc>
          <w:tcPr>
            <w:tcW w:type="dxa" w:w="15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Échéance</w:t>
            </w:r>
          </w:p>
        </w:tc>
        <w:tc>
          <w:tcPr>
            <w:tcW w:type="dxa" w:w="2026"/>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Preuves</w:t>
            </w:r>
          </w:p>
        </w:tc>
      </w:tr>
      <w:tr>
        <w:tc>
          <w:tcPr>
            <w:tcW w:type="dxa" w:w="9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J1</w:t>
            </w:r>
          </w:p>
        </w:tc>
        <w:tc>
          <w:tcPr>
            <w:tcW w:type="dxa" w:w="29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7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5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2026"/>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9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J2</w:t>
            </w:r>
          </w:p>
        </w:tc>
        <w:tc>
          <w:tcPr>
            <w:tcW w:type="dxa" w:w="29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7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5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2026"/>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9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J3</w:t>
            </w:r>
          </w:p>
        </w:tc>
        <w:tc>
          <w:tcPr>
            <w:tcW w:type="dxa" w:w="29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7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5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2026"/>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9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Total</w:t>
            </w:r>
          </w:p>
        </w:tc>
        <w:tc>
          <w:tcPr>
            <w:tcW w:type="dxa" w:w="29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7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[MONTANT]</w:t>
            </w:r>
          </w:p>
        </w:tc>
        <w:tc>
          <w:tcPr>
            <w:tcW w:type="dxa" w:w="15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2026"/>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r>
    </w:tbl>
    <w:p>
      <w:pPr>
        <w:spacing w:after="80"/>
      </w:pPr>
      <w:r>
        <w:t xml:space="preserve"/>
      </w:r>
    </w:p>
    <w:p>
      <w:pPr>
        <w:spacing w:after="80" w:line="300"/>
      </w:pPr>
      <w:r>
        <w:rPr>
          <w:b/>
          <w:bCs/>
        </w:rPr>
        <w:t xml:space="preserve">Paliers de contribution et récompenses associées : </w:t>
      </w:r>
      <w:r>
        <w:rPr>
          <w:color w:val="5F5E5A"/>
        </w:rPr>
        <w:t xml:space="preserve">……………………………………………………………</w:t>
      </w:r>
    </w:p>
    <w:p>
      <w:pPr>
        <w:spacing w:after="80" w:line="300"/>
      </w:pPr>
      <w:r>
        <w:rPr>
          <w:b/>
          <w:bCs/>
        </w:rPr>
        <w:t xml:space="preserve">Délai et modalités de livraison de la contrepartie : </w:t>
      </w:r>
      <w:r>
        <w:rPr>
          <w:color w:val="5F5E5A"/>
        </w:rPr>
        <w:t xml:space="preserve">……………………………………………………………</w:t>
      </w:r>
    </w:p>
    <w:p>
      <w:pPr>
        <w:spacing w:after="80" w:line="300"/>
      </w:pPr>
      <w:r>
        <w:rPr>
          <w:b/>
          <w:bCs/>
        </w:rPr>
        <w:t xml:space="preserve">Délais : validation (X), grâce de livraison, inactivité (90 j) : </w:t>
      </w:r>
      <w:r>
        <w:rPr>
          <w:color w:val="5F5E5A"/>
        </w:rPr>
        <w:t xml:space="preserve">……………………………………………………………</w:t>
      </w:r>
    </w:p>
    <w:p>
      <w:pPr>
        <w:pStyle w:val="Heading1"/>
      </w:pPr>
      <w:r>
        <w:t xml:space="preserve">Annexe 2 — Description du Projet</w:t>
      </w:r>
    </w:p>
    <w:p>
      <w:pPr>
        <w:pBdr>
          <w:bottom w:val="single" w:color="C5A54E" w:sz="12" w:space="1"/>
        </w:pBdr>
        <w:spacing w:after="130" w:before="20"/>
      </w:pPr>
      <w:r>
        <w:t xml:space="preserve"/>
      </w:r>
    </w:p>
    <w:p>
      <w:pPr>
        <w:spacing w:after="80" w:line="300"/>
      </w:pPr>
      <w:r>
        <w:rPr>
          <w:b/>
          <w:bCs/>
        </w:rPr>
        <w:t xml:space="preserve">Intitulé, secteur et localisation du Projet : </w:t>
      </w:r>
      <w:r>
        <w:rPr>
          <w:color w:val="5F5E5A"/>
        </w:rPr>
        <w:t xml:space="preserve">……………………………………………………………</w:t>
      </w:r>
    </w:p>
    <w:p>
      <w:pPr>
        <w:spacing w:after="80" w:line="300"/>
      </w:pPr>
      <w:r>
        <w:rPr>
          <w:b/>
          <w:bCs/>
        </w:rPr>
        <w:t xml:space="preserve">Objet et finalité des fonds : </w:t>
      </w:r>
      <w:r>
        <w:rPr>
          <w:color w:val="5F5E5A"/>
        </w:rPr>
        <w:t xml:space="preserve">……………………………………………………………</w:t>
      </w:r>
    </w:p>
    <w:p>
      <w:pPr>
        <w:spacing w:after="80" w:line="300"/>
      </w:pPr>
      <w:r>
        <w:rPr>
          <w:b/>
          <w:bCs/>
        </w:rPr>
        <w:t xml:space="preserve">Niveau de vérification (KYC le porteur, statut du Projet) : </w:t>
      </w:r>
      <w:r>
        <w:rPr>
          <w:color w:val="5F5E5A"/>
        </w:rPr>
        <w:t xml:space="preserve">……………………………………………………………</w:t>
      </w:r>
    </w:p>
    <w:p>
      <w:pPr>
        <w:spacing w:after="80" w:line="300"/>
      </w:pPr>
      <w:r>
        <w:rPr>
          <w:b/>
          <w:bCs/>
        </w:rPr>
        <w:t xml:space="preserve">Facteurs de risque principaux : </w:t>
      </w:r>
      <w:r>
        <w:rPr>
          <w:color w:val="5F5E5A"/>
        </w:rPr>
        <w:t xml:space="preserve">……………………………………………………………</w:t>
      </w:r>
    </w:p>
    <w:p>
      <w:pPr>
        <w:spacing w:before="200"/>
      </w:pPr>
      <w:r>
        <w:rPr>
          <w:i/>
          <w:iCs/>
          <w:color w:val="5F5E5A"/>
          <w:sz w:val="18"/>
          <w:szCs w:val="18"/>
        </w:rPr>
        <w:t xml:space="preserve">GlobalAfrica+ — Convention d'investissement (Type : Contrepartie (reward), modèle-type). À faire valider par un conseil juridique avant usage.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E5A"/>
        <w:sz w:val="16"/>
        <w:szCs w:val="16"/>
      </w:rPr>
      <w:t xml:space="preserve">Page </w:t>
    </w:r>
    <w:r>
      <w:rPr>
        <w:color w:val="5F5E5A"/>
        <w:sz w:val="16"/>
        <w:szCs w:val="16"/>
      </w:rPr>
      <w:fldChar w:fldCharType="begin"/>
      <w:instrText xml:space="preserve">PAGE</w:instrText>
      <w:fldChar w:fldCharType="separate"/>
      <w:fldChar w:fldCharType="end"/>
    </w:r>
    <w:r>
      <w:rPr>
        <w:color w:val="5F5E5A"/>
        <w:sz w:val="14"/>
        <w:szCs w:val="14"/>
      </w:rPr>
      <w:t xml:space="preserve">  —  paraphes : ……  /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A54E" w:sz="6" w:space="6"/>
      </w:pBdr>
      <w:tabs>
        <w:tab w:val="right" w:pos="9026"/>
      </w:tabs>
    </w:pPr>
    <w:r>
      <w:rPr>
        <w:b/>
        <w:bCs/>
        <w:color w:val="1A1A1A"/>
        <w:sz w:val="16"/>
        <w:szCs w:val="16"/>
      </w:rPr>
      <w:t xml:space="preserve">GlobalAfrica+</w:t>
    </w:r>
    <w:r>
      <w:rPr>
        <w:color w:val="5F5E5A"/>
        <w:sz w:val="16"/>
        <w:szCs w:val="16"/>
      </w:rPr>
      <w:t xml:space="preserve">	Convention — Contrepartie (reward)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60"/>
      <w:outlineLvl w:val="0"/>
    </w:pPr>
    <w:rPr>
      <w:rFonts w:ascii="Arial" w:cs="Arial" w:eastAsia="Arial" w:hAnsi="Arial"/>
      <w:b/>
      <w:bCs/>
      <w:color w:val="1A1A1A"/>
      <w:sz w:val="28"/>
      <w:szCs w:val="28"/>
    </w:rPr>
  </w:style>
  <w:style w:type="paragraph" w:styleId="Heading2">
    <w:name w:val="Heading 2"/>
    <w:basedOn w:val="Normal"/>
    <w:next w:val="Normal"/>
    <w:qFormat/>
    <w:pPr>
      <w:spacing w:after="70" w:before="220"/>
      <w:outlineLvl w:val="1"/>
    </w:pPr>
    <w:rPr>
      <w:rFonts w:ascii="Arial" w:cs="Arial" w:eastAsia="Arial" w:hAnsi="Arial"/>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Convention d'investissement (Type : Contrepartie (reward)) — GlobalAfrica+</dc:title>
  <dc:creator>GlobalAfrica+</dc:creator>
  <cp:lastModifiedBy>Un-named</cp:lastModifiedBy>
  <cp:revision>1</cp:revision>
  <dcterms:created xsi:type="dcterms:W3CDTF">2026-06-26T16:28:57.234Z</dcterms:created>
  <dcterms:modified xsi:type="dcterms:W3CDTF">2026-06-26T16:28:57.234Z</dcterms:modified>
</cp:coreProperties>
</file>

<file path=docProps/custom.xml><?xml version="1.0" encoding="utf-8"?>
<Properties xmlns="http://schemas.openxmlformats.org/officeDocument/2006/custom-properties" xmlns:vt="http://schemas.openxmlformats.org/officeDocument/2006/docPropsVTypes"/>
</file>