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jc w:val="center"/>
      </w:pPr>
      <w:r>
        <w:rPr>
          <w:b/>
          <w:bCs/>
          <w:color w:val="1A1A1A"/>
          <w:sz w:val="34"/>
          <w:szCs w:val="34"/>
        </w:rPr>
        <w:t xml:space="preserve">GlobalAfrica+</w:t>
      </w:r>
    </w:p>
    <w:p>
      <w:pPr>
        <w:pBdr>
          <w:bottom w:val="single" w:color="C5A54E" w:sz="16" w:space="6"/>
        </w:pBdr>
        <w:spacing w:after="0" w:before="40"/>
        <w:jc w:val="center"/>
      </w:pPr>
      <w:r>
        <w:rPr>
          <w:sz w:val="6"/>
          <w:szCs w:val="6"/>
        </w:rPr>
        <w:t xml:space="preserve"/>
      </w:r>
    </w:p>
    <w:p>
      <w:pPr>
        <w:spacing w:after="50" w:before="200"/>
        <w:jc w:val="center"/>
      </w:pPr>
      <w:r>
        <w:rPr>
          <w:b/>
          <w:bCs/>
          <w:color w:val="1A1A1A"/>
          <w:sz w:val="32"/>
          <w:szCs w:val="32"/>
        </w:rPr>
        <w:t xml:space="preserve">CONVENTION D'INVESTISSEMENT</w:t>
      </w:r>
    </w:p>
    <w:p>
      <w:pPr>
        <w:spacing w:after="30"/>
        <w:jc w:val="center"/>
      </w:pPr>
      <w:r>
        <w:rPr>
          <w:b/>
          <w:bCs/>
          <w:color w:val="8A7430"/>
          <w:sz w:val="26"/>
          <w:szCs w:val="26"/>
        </w:rPr>
        <w:t xml:space="preserve">TYPE : PARTICIPATION (EQUITY)</w:t>
      </w:r>
    </w:p>
    <w:p>
      <w:pPr>
        <w:spacing w:after="180"/>
        <w:jc w:val="center"/>
      </w:pPr>
      <w:r>
        <w:rPr>
          <w:i/>
          <w:iCs/>
          <w:color w:val="5F5E5A"/>
          <w:sz w:val="21"/>
          <w:szCs w:val="21"/>
        </w:rPr>
        <w:t xml:space="preserve">Prise de participation au capital — financement par jalons via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4344E" w:sz="18" w:space="4"/>
              <w:bottom w:val="none"/>
              <w:right w:val="none"/>
            </w:tcBorders>
            <w:shd w:fill="FAE9EC" w:val="clear"/>
            <w:tcMar>
              <w:top w:type="dxa" w:w="120"/>
              <w:left w:type="dxa" w:w="180"/>
              <w:bottom w:type="dxa" w:w="120"/>
              <w:right w:type="dxa" w:w="180"/>
            </w:tcMar>
          </w:tcPr>
          <w:p>
            <w:pPr>
              <w:spacing w:line="272"/>
              <w:jc w:val="both"/>
            </w:pPr>
            <w:r>
              <w:rPr>
                <w:b/>
                <w:bCs/>
              </w:rPr>
              <w:t xml:space="preserve">Avertissement — modèle à faire valider. </w:t>
            </w:r>
            <w:r>
              <w:t xml:space="preserve">Ce document est un modèle de travail et ne constitue pas un conseil juridique. Il doit être relu et adapté par un avocat ou un juriste compétent au regard du droit applicable (OHADA / Sénégal, réglementation UEMOA) et du statut réglementaire de la plateforme et de l'opérateur de paiement, avant signature. Les champs en doré (ex. </w:t>
            </w:r>
            <w:r>
              <w:rPr>
                <w:b/>
                <w:bCs/>
                <w:color w:val="8A7430"/>
              </w:rPr>
              <w:t xml:space="preserve">[À COMPLÉTER]</w:t>
            </w:r>
            <w:r>
              <w:t xml:space="preserve">) sont à renseigner pour chaque opération.</w:t>
            </w:r>
          </w:p>
        </w:tc>
      </w:tr>
    </w:tbl>
    <w:p>
      <w:pPr>
        <w:spacing w:after="80"/>
      </w:pPr>
      <w:r>
        <w:t xml:space="preserve"/>
      </w:r>
    </w:p>
    <w:p>
      <w:pPr>
        <w:pStyle w:val="Heading1"/>
      </w:pPr>
      <w:r>
        <w:t xml:space="preserve">Entre les soussignés</w:t>
      </w:r>
    </w:p>
    <w:p>
      <w:pPr>
        <w:pBdr>
          <w:bottom w:val="single" w:color="C5A54E" w:sz="12" w:space="1"/>
        </w:pBdr>
        <w:spacing w:after="130" w:before="20"/>
      </w:pPr>
      <w:r>
        <w:t xml:space="preserve"/>
      </w:r>
    </w:p>
    <w:p>
      <w:pPr>
        <w:spacing w:after="120" w:line="276"/>
        <w:jc w:val="both"/>
      </w:pPr>
      <w:r>
        <w:rPr>
          <w:b/>
          <w:bCs/>
        </w:rPr>
        <w:t xml:space="preserve">l'Investisseur — </w:t>
      </w:r>
      <w:r>
        <w:rPr>
          <w:b/>
          <w:bCs/>
          <w:color w:val="8A7430"/>
        </w:rPr>
        <w:t xml:space="preserve">[NOM / RAISON SOCIALE]</w:t>
      </w:r>
      <w:r>
        <w:t xml:space="preserve">, </w:t>
      </w:r>
      <w:r>
        <w:rPr>
          <w:b/>
          <w:bCs/>
          <w:color w:val="8A7430"/>
        </w:rPr>
        <w:t xml:space="preserve">[NÉ(E) LE / IMMATRICULÉ(E) SOUS]</w:t>
      </w:r>
      <w:r>
        <w:t xml:space="preserve">, demeurant / siège à </w:t>
      </w:r>
      <w:r>
        <w:rPr>
          <w:b/>
          <w:bCs/>
          <w:color w:val="8A7430"/>
        </w:rPr>
        <w:t xml:space="preserve">[ADRESSE, PAYS]</w:t>
      </w:r>
      <w:r>
        <w:t xml:space="preserve">, titulaire d'un compte vérifié sur GlobalAfrica+ (réf. KYC </w:t>
      </w:r>
      <w:r>
        <w:rPr>
          <w:b/>
          <w:bCs/>
          <w:color w:val="8A7430"/>
        </w:rPr>
        <w:t xml:space="preserve">[ID]</w:t>
      </w:r>
      <w:r>
        <w:t xml:space="preserve">),</w:t>
      </w:r>
    </w:p>
    <w:p>
      <w:pPr>
        <w:spacing w:after="120" w:line="276"/>
        <w:jc w:val="both"/>
      </w:pPr>
      <w:r>
        <w:t xml:space="preserve">ci-après « </w:t>
      </w:r>
      <w:r>
        <w:rPr>
          <w:b/>
          <w:bCs/>
        </w:rPr>
        <w:t xml:space="preserve">l'Investisseur</w:t>
      </w:r>
      <w:r>
        <w:t xml:space="preserve"> », d'une part,</w:t>
      </w:r>
    </w:p>
    <w:p>
      <w:pPr>
        <w:spacing w:after="120" w:line="276"/>
        <w:jc w:val="both"/>
      </w:pPr>
      <w:r>
        <w:rPr>
          <w:b/>
          <w:bCs/>
        </w:rPr>
        <w:t xml:space="preserve">le Porteur — </w:t>
      </w:r>
      <w:r>
        <w:rPr>
          <w:b/>
          <w:bCs/>
          <w:color w:val="8A7430"/>
        </w:rPr>
        <w:t xml:space="preserve">[RAISON SOCIALE]</w:t>
      </w:r>
      <w:r>
        <w:t xml:space="preserve">, </w:t>
      </w:r>
      <w:r>
        <w:rPr>
          <w:b/>
          <w:bCs/>
          <w:color w:val="8A7430"/>
        </w:rPr>
        <w:t xml:space="preserve">[FORME]</w:t>
      </w:r>
      <w:r>
        <w:t xml:space="preserve">, RCCM </w:t>
      </w:r>
      <w:r>
        <w:rPr>
          <w:b/>
          <w:bCs/>
          <w:color w:val="8A7430"/>
        </w:rPr>
        <w:t xml:space="preserve">[N°]</w:t>
      </w:r>
      <w:r>
        <w:t xml:space="preserve">, identifiant fiscal </w:t>
      </w:r>
      <w:r>
        <w:rPr>
          <w:b/>
          <w:bCs/>
          <w:color w:val="8A7430"/>
        </w:rPr>
        <w:t xml:space="preserve">[NINEA / N°]</w:t>
      </w:r>
      <w:r>
        <w:t xml:space="preserve">, siège à </w:t>
      </w:r>
      <w:r>
        <w:rPr>
          <w:b/>
          <w:bCs/>
          <w:color w:val="8A7430"/>
        </w:rPr>
        <w:t xml:space="preserve">[ADRESSE, PAYS]</w:t>
      </w:r>
      <w:r>
        <w:t xml:space="preserve">, représenté(e) par </w:t>
      </w:r>
      <w:r>
        <w:rPr>
          <w:b/>
          <w:bCs/>
          <w:color w:val="8A7430"/>
        </w:rPr>
        <w:t xml:space="preserve">[NOM, QUALITÉ]</w:t>
      </w:r>
      <w:r>
        <w:t xml:space="preserve">,</w:t>
      </w:r>
    </w:p>
    <w:p>
      <w:pPr>
        <w:spacing w:after="120" w:line="276"/>
        <w:jc w:val="both"/>
      </w:pPr>
      <w:r>
        <w:t xml:space="preserve">ci-après « </w:t>
      </w:r>
      <w:r>
        <w:rPr>
          <w:b/>
          <w:bCs/>
        </w:rPr>
        <w:t xml:space="preserve">le Porteur</w:t>
      </w:r>
      <w:r>
        <w:t xml:space="preserve"> », d'autre part,</w:t>
      </w:r>
    </w:p>
    <w:p>
      <w:pPr>
        <w:spacing w:after="120" w:line="276"/>
        <w:jc w:val="both"/>
      </w:pPr>
      <w:r>
        <w:t xml:space="preserve">ci-après ensemble les « </w:t>
      </w:r>
      <w:r>
        <w:rPr>
          <w:b/>
          <w:bCs/>
        </w:rPr>
        <w:t xml:space="preserve">Parties</w:t>
      </w:r>
      <w:r>
        <w:t xml:space="preserve"> ».</w:t>
      </w:r>
    </w:p>
    <w:p>
      <w:pPr>
        <w:spacing w:after="120" w:line="276"/>
        <w:jc w:val="both"/>
      </w:pPr>
      <w:r>
        <w:rPr>
          <w:b/>
          <w:bCs/>
        </w:rPr>
        <w:t xml:space="preserve">Interviennent sans être Parties : </w:t>
      </w:r>
      <w:r>
        <w:t xml:space="preserve">la plateforme GlobalAfrica+ (mise en relation et vérification — la « </w:t>
      </w:r>
      <w:r>
        <w:rPr>
          <w:b/>
          <w:bCs/>
        </w:rPr>
        <w:t xml:space="preserve">Plateforme</w:t>
      </w:r>
      <w:r>
        <w:t xml:space="preserve"> ») et </w:t>
      </w:r>
      <w:r>
        <w:rPr>
          <w:b/>
          <w:bCs/>
          <w:color w:val="8A7430"/>
        </w:rPr>
        <w:t xml:space="preserve">[OPÉRATEUR DE PAIEMENT AGRÉÉ — ex. PayDunya]</w:t>
      </w:r>
      <w:r>
        <w:t xml:space="preserve"> (encaissement, cantonnement et décaissement — l'« </w:t>
      </w:r>
      <w:r>
        <w:rPr>
          <w:b/>
          <w:bCs/>
        </w:rPr>
        <w:t xml:space="preserve">Opérateur de paiement</w:t>
      </w:r>
      <w:r>
        <w:t xml:space="preserve"> »).</w:t>
      </w:r>
    </w:p>
    <w:p>
      <w:pPr>
        <w:pStyle w:val="Heading1"/>
      </w:pPr>
      <w:r>
        <w:t xml:space="preserve">Préambule</w:t>
      </w:r>
    </w:p>
    <w:p>
      <w:pPr>
        <w:pBdr>
          <w:bottom w:val="single" w:color="C5A54E" w:sz="12" w:space="1"/>
        </w:pBdr>
        <w:spacing w:after="130" w:before="20"/>
      </w:pPr>
      <w:r>
        <w:t xml:space="preserve"/>
      </w:r>
    </w:p>
    <w:p>
      <w:pPr>
        <w:spacing w:after="120" w:line="276"/>
        <w:jc w:val="both"/>
      </w:pPr>
      <w:r>
        <w:t xml:space="preserve">La Plateforme organise un financement sécurisé : les fonds sont placés sous séquestre puis libérés par Tranches, chacune conditionnée à l'atteinte d'un Jalon justifié. C'est dans ce cadre que les Parties sont convenues de ce qui suit.</w:t>
      </w:r>
    </w:p>
    <w:p>
      <w:pPr>
        <w:pStyle w:val="Heading2"/>
        <w:spacing w:after="70" w:before="230"/>
      </w:pPr>
      <w:r>
        <w:rPr>
          <w:b/>
          <w:bCs/>
        </w:rPr>
        <w:t xml:space="preserve">Article 1 — Définitions</w:t>
      </w:r>
    </w:p>
    <w:p>
      <w:pPr>
        <w:pStyle w:val="ListParagraph"/>
        <w:numPr>
          <w:ilvl w:val="0"/>
          <w:numId w:val="2"/>
        </w:numPr>
        <w:spacing w:after="50" w:line="272"/>
        <w:jc w:val="both"/>
      </w:pPr>
      <w:r>
        <w:rPr>
          <w:b/>
          <w:bCs/>
        </w:rPr>
        <w:t xml:space="preserve">Séquestre : </w:t>
      </w:r>
      <w:r>
        <w:t xml:space="preserve">compte de cantonnement tenu par l'Opérateur de paiement, conservant les fonds hors des mains du le porteur jusqu'à libération.</w:t>
      </w:r>
    </w:p>
    <w:p>
      <w:pPr>
        <w:pStyle w:val="ListParagraph"/>
        <w:numPr>
          <w:ilvl w:val="0"/>
          <w:numId w:val="2"/>
        </w:numPr>
        <w:spacing w:after="50" w:line="272"/>
        <w:jc w:val="both"/>
      </w:pPr>
      <w:r>
        <w:rPr>
          <w:b/>
          <w:bCs/>
        </w:rPr>
        <w:t xml:space="preserve">Jalon : </w:t>
      </w:r>
      <w:r>
        <w:t xml:space="preserve">étape vérifiable du Projet, associée à une tranche de financement et à des preuves attendues.</w:t>
      </w:r>
    </w:p>
    <w:p>
      <w:pPr>
        <w:pStyle w:val="ListParagraph"/>
        <w:numPr>
          <w:ilvl w:val="0"/>
          <w:numId w:val="2"/>
        </w:numPr>
        <w:spacing w:after="50" w:line="272"/>
        <w:jc w:val="both"/>
      </w:pPr>
      <w:r>
        <w:rPr>
          <w:b/>
          <w:bCs/>
        </w:rPr>
        <w:t xml:space="preserve">Tranche : </w:t>
      </w:r>
      <w:r>
        <w:t xml:space="preserve">fraction du Montant libérée au titre d'un Jalon validé.</w:t>
      </w:r>
    </w:p>
    <w:p>
      <w:pPr>
        <w:pStyle w:val="ListParagraph"/>
        <w:numPr>
          <w:ilvl w:val="0"/>
          <w:numId w:val="2"/>
        </w:numPr>
        <w:spacing w:after="50" w:line="272"/>
        <w:jc w:val="both"/>
      </w:pPr>
      <w:r>
        <w:rPr>
          <w:b/>
          <w:bCs/>
        </w:rPr>
        <w:t xml:space="preserve">Décaissement : </w:t>
      </w:r>
      <w:r>
        <w:t xml:space="preserve">versement effectif d'une Tranche après validation du Jalon.</w:t>
      </w:r>
    </w:p>
    <w:p>
      <w:pPr>
        <w:pStyle w:val="ListParagraph"/>
        <w:numPr>
          <w:ilvl w:val="0"/>
          <w:numId w:val="2"/>
        </w:numPr>
        <w:spacing w:after="50" w:line="272"/>
        <w:jc w:val="both"/>
      </w:pPr>
      <w:r>
        <w:rPr>
          <w:b/>
          <w:bCs/>
        </w:rPr>
        <w:t xml:space="preserve">Preuves : </w:t>
      </w:r>
      <w:r>
        <w:t xml:space="preserve">éléments justificatifs de la réalisation d'un Jalon.</w:t>
      </w:r>
    </w:p>
    <w:p>
      <w:pPr>
        <w:pStyle w:val="ListParagraph"/>
        <w:numPr>
          <w:ilvl w:val="0"/>
          <w:numId w:val="2"/>
        </w:numPr>
        <w:spacing w:after="50" w:line="272"/>
        <w:jc w:val="both"/>
      </w:pPr>
      <w:r>
        <w:rPr>
          <w:b/>
          <w:bCs/>
        </w:rPr>
        <w:t xml:space="preserve">Parts : </w:t>
      </w:r>
      <w:r>
        <w:t xml:space="preserve">parts sociales ou actions de la société du Porteur attribuées à l'Investisseur.</w:t>
      </w:r>
    </w:p>
    <w:p>
      <w:pPr>
        <w:pStyle w:val="Heading2"/>
        <w:spacing w:after="70" w:before="230"/>
      </w:pPr>
      <w:r>
        <w:rPr>
          <w:b/>
          <w:bCs/>
        </w:rPr>
        <w:t xml:space="preserve">Article 2 — Objet</w:t>
      </w:r>
    </w:p>
    <w:p>
      <w:pPr>
        <w:spacing w:after="120" w:line="276"/>
        <w:jc w:val="both"/>
      </w:pPr>
      <w:r>
        <w:t xml:space="preserve">Définir les conditions dans lesquelles l'Investisseur prend une participation au capital de la société du Porteur en finançant le Projet décrit en Annexe 2.</w:t>
      </w:r>
    </w:p>
    <w:p>
      <w:pPr>
        <w:pStyle w:val="Heading2"/>
        <w:spacing w:after="70" w:before="230"/>
      </w:pPr>
      <w:r>
        <w:rPr>
          <w:b/>
          <w:bCs/>
        </w:rPr>
        <w:t xml:space="preserve">Article 3 — Montant et devise</w:t>
      </w:r>
    </w:p>
    <w:p>
      <w:pPr>
        <w:spacing w:after="110" w:line="276"/>
        <w:jc w:val="both"/>
      </w:pPr>
      <w:r>
        <w:rPr>
          <w:b/>
          <w:bCs/>
        </w:rPr>
        <w:t xml:space="preserve">3.1  </w:t>
      </w:r>
      <w:r>
        <w:t xml:space="preserve">Le montant de l'apport s'élève à </w:t>
      </w:r>
      <w:r>
        <w:rPr>
          <w:b/>
          <w:bCs/>
          <w:color w:val="8A7430"/>
        </w:rPr>
        <w:t xml:space="preserve">[MONTANT EN CHIFFRES ET LETTRES]</w:t>
      </w:r>
      <w:r>
        <w:t xml:space="preserve"> </w:t>
      </w:r>
      <w:r>
        <w:rPr>
          <w:b/>
          <w:bCs/>
          <w:color w:val="8A7430"/>
        </w:rPr>
        <w:t xml:space="preserve">[DEVISE]</w:t>
      </w:r>
      <w:r>
        <w:t xml:space="preserve"> (le « Montant »), versé sur le Séquestre par </w:t>
      </w:r>
      <w:r>
        <w:rPr>
          <w:b/>
          <w:bCs/>
          <w:color w:val="8A7430"/>
        </w:rPr>
        <w:t xml:space="preserve">[MOYEN]</w:t>
      </w:r>
      <w:r>
        <w:t xml:space="preserve"> au plus tard le </w:t>
      </w:r>
      <w:r>
        <w:rPr>
          <w:b/>
          <w:bCs/>
          <w:color w:val="8A7430"/>
        </w:rPr>
        <w:t xml:space="preserve">[DATE]</w:t>
      </w:r>
      <w:r>
        <w:t xml:space="preserve">.</w:t>
      </w:r>
    </w:p>
    <w:p>
      <w:pPr>
        <w:spacing w:after="110" w:line="276"/>
        <w:jc w:val="both"/>
      </w:pPr>
      <w:r>
        <w:rPr>
          <w:b/>
          <w:bCs/>
        </w:rPr>
        <w:t xml:space="preserve">3.2  </w:t>
      </w:r>
      <w:r>
        <w:t xml:space="preserve">Modalité de versement. Le Montant est porté au Séquestre </w:t>
      </w:r>
      <w:r>
        <w:rPr>
          <w:b/>
          <w:bCs/>
          <w:color w:val="8A7430"/>
        </w:rPr>
        <w:t xml:space="preserve">[MODALITÉ DE VERSEMENT]</w:t>
      </w:r>
      <w:r>
        <w:t xml:space="preserve">. Chaque échéance est appelée à sa date d’exigibilité par l’Opérateur de paiement, sur le moyen de paiement choisi par l’Investisseur lors de la souscription. L’Échéancier de versement figure en Annexe 1 et fait partie intégrante de la présente.</w:t>
      </w:r>
    </w:p>
    <w:p>
      <w:pPr>
        <w:spacing w:after="110" w:line="276"/>
        <w:jc w:val="both"/>
      </w:pPr>
      <w:r>
        <w:rPr>
          <w:b/>
          <w:bCs/>
        </w:rPr>
        <w:t xml:space="preserve">3.3  </w:t>
      </w:r>
      <w:r>
        <w:t xml:space="preserve">Portée du versement fractionné. Le Montant n’est réputé intégralement mis à disposition qu’au règlement de la dernière échéance. Le non-règlement d’une échéance à son terme suspend de plein droit les décaissements à venir, dans les conditions de l’Article 6.2. À défaut de régularisation sous </w:t>
      </w:r>
      <w:r>
        <w:rPr>
          <w:b/>
          <w:bCs/>
          <w:color w:val="8A7430"/>
        </w:rPr>
        <w:t xml:space="preserve">[X]</w:t>
      </w:r>
      <w:r>
        <w:t xml:space="preserve"> jours, la présente peut être résiliée conformément à l’Article 15, les sommes déjà versées et non décaissées étant restituées à l’Investisseur après déduction des frais irrécupérables.</w:t>
      </w:r>
    </w:p>
    <w:p>
      <w:pPr>
        <w:pStyle w:val="Heading2"/>
        <w:spacing w:after="70" w:before="230"/>
      </w:pPr>
      <w:r>
        <w:rPr>
          <w:b/>
          <w:bCs/>
        </w:rPr>
        <w:t xml:space="preserve">Article 4 — Nature de l'investissement et contrepartie</w:t>
      </w:r>
    </w:p>
    <w:p>
      <w:pPr>
        <w:spacing w:after="110" w:line="276"/>
        <w:jc w:val="both"/>
      </w:pPr>
      <w:r>
        <w:rPr>
          <w:b/>
          <w:bCs/>
        </w:rPr>
        <w:t xml:space="preserve">4.1  </w:t>
      </w:r>
      <w:r>
        <w:t xml:space="preserve">L'investissement prend la forme d'une prise de participation au capital de la société du Porteur.</w:t>
      </w:r>
    </w:p>
    <w:p>
      <w:pPr>
        <w:spacing w:after="110" w:line="276"/>
        <w:jc w:val="both"/>
      </w:pPr>
      <w:r>
        <w:rPr>
          <w:b/>
          <w:bCs/>
        </w:rPr>
        <w:t xml:space="preserve">4.2  </w:t>
      </w:r>
      <w:r>
        <w:t xml:space="preserve">En contrepartie du Montant, l'Investisseur se voit attribuer </w:t>
      </w:r>
      <w:r>
        <w:rPr>
          <w:b/>
          <w:bCs/>
          <w:color w:val="8A7430"/>
        </w:rPr>
        <w:t xml:space="preserve">[NOMBRE]</w:t>
      </w:r>
      <w:r>
        <w:t xml:space="preserve"> parts représentant </w:t>
      </w:r>
      <w:r>
        <w:rPr>
          <w:b/>
          <w:bCs/>
          <w:color w:val="8A7430"/>
        </w:rPr>
        <w:t xml:space="preserve">[X]</w:t>
      </w:r>
      <w:r>
        <w:t xml:space="preserve"> % du capital, par voie de </w:t>
      </w:r>
      <w:r>
        <w:rPr>
          <w:b/>
          <w:bCs/>
          <w:color w:val="8A7430"/>
        </w:rPr>
        <w:t xml:space="preserve">[AUGMENTATION DE CAPITAL / CESSION DE PARTS]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4344E" w:sz="18" w:space="4"/>
              <w:bottom w:val="none"/>
              <w:right w:val="none"/>
            </w:tcBorders>
            <w:shd w:fill="FAE9EC" w:val="clear"/>
            <w:tcMar>
              <w:top w:type="dxa" w:w="120"/>
              <w:left w:type="dxa" w:w="180"/>
              <w:bottom w:type="dxa" w:w="120"/>
              <w:right w:type="dxa" w:w="180"/>
            </w:tcMar>
          </w:tcPr>
          <w:p>
            <w:pPr>
              <w:spacing w:line="272"/>
              <w:jc w:val="both"/>
            </w:pPr>
            <w:r>
              <w:rPr>
                <w:b/>
                <w:bCs/>
              </w:rPr>
              <w:t xml:space="preserve">4.3 — Absence de garantie. </w:t>
            </w:r>
            <w:r>
              <w:t xml:space="preserve">La participation n'ouvre droit à aucun remboursement du capital. Le rendement (dividendes, plus-value) n'est ni garanti ni assuré ; une perte partielle ou totale du capital est possible.</w:t>
            </w:r>
          </w:p>
        </w:tc>
      </w:tr>
    </w:tbl>
    <w:p>
      <w:pPr>
        <w:pStyle w:val="Heading2"/>
        <w:spacing w:after="70" w:before="230"/>
      </w:pPr>
      <w:r>
        <w:rPr>
          <w:b/>
          <w:bCs/>
        </w:rPr>
        <w:t xml:space="preserve">Article 5 — Séquestre des fonds</w:t>
      </w:r>
    </w:p>
    <w:p>
      <w:pPr>
        <w:spacing w:after="110" w:line="276"/>
        <w:jc w:val="both"/>
      </w:pPr>
      <w:r>
        <w:rPr>
          <w:b/>
          <w:bCs/>
        </w:rPr>
        <w:t xml:space="preserve">5.1  </w:t>
      </w:r>
      <w:r>
        <w:t xml:space="preserve">Le Montant est conservé sur le Séquestre. Le Porteur ne détient à aucun moment les fonds non libérés.</w:t>
      </w:r>
    </w:p>
    <w:p>
      <w:pPr>
        <w:spacing w:after="110" w:line="276"/>
        <w:jc w:val="both"/>
      </w:pPr>
      <w:r>
        <w:rPr>
          <w:b/>
          <w:bCs/>
        </w:rPr>
        <w:t xml:space="preserve">5.2  </w:t>
      </w:r>
      <w:r>
        <w:t xml:space="preserve">Seules les Tranches correspondant à des Jalons validés sont décaissées, sur le compte </w:t>
      </w:r>
      <w:r>
        <w:rPr>
          <w:b/>
          <w:bCs/>
          <w:color w:val="8A7430"/>
        </w:rPr>
        <w:t xml:space="preserve">[COMPTE DU LE PORTEUR]</w:t>
      </w:r>
      <w:r>
        <w:t xml:space="preserve">, au nom de l'entreprise.</w:t>
      </w:r>
    </w:p>
    <w:p>
      <w:pPr>
        <w:pStyle w:val="Heading2"/>
        <w:spacing w:after="70" w:before="230"/>
      </w:pPr>
      <w:r>
        <w:rPr>
          <w:b/>
          <w:bCs/>
        </w:rPr>
        <w:t xml:space="preserve">Article 6 — Jalons et calendrier de financement</w:t>
      </w:r>
    </w:p>
    <w:p>
      <w:pPr>
        <w:spacing w:after="120" w:line="276"/>
        <w:jc w:val="both"/>
      </w:pPr>
      <w:r>
        <w:t xml:space="preserve">Le financement est échelonné selon les Jalons ci-dessous ; le détail figure en Annexe 1, qui prévaut en cas d'écart.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700"/>
        <w:gridCol w:w="1500"/>
        <w:gridCol w:w="1426"/>
      </w:tblGrid>
      <w:tr>
        <w:trPr>
          <w:tblHeader/>
        </w:trPr>
        <w:tc>
          <w:tcPr>
            <w:tcW w:type="dxa" w:w="1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33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Description / livrable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14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33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bl>
    <w:p>
      <w:pPr>
        <w:spacing w:after="110" w:line="276"/>
        <w:jc w:val="both"/>
      </w:pPr>
      <w:r>
        <w:rPr>
          <w:b/>
          <w:bCs/>
        </w:rPr>
        <w:t xml:space="preserve">6.1  </w:t>
      </w:r>
      <w:r>
        <w:t xml:space="preserve">Deux calendriers distincts. Le tableau ci-dessus fixe le calendrier de décaissement au profit du Porteur, chaque Tranche étant conditionnée à la validation du Jalon correspondant. Il ne se confond pas avec l’Échéancier de versement de l’Investisseur (Article 3.2 et Annexe 1), qui règle l’alimentation du Séquestre.</w:t>
      </w:r>
    </w:p>
    <w:p>
      <w:pPr>
        <w:spacing w:after="110" w:line="276"/>
        <w:jc w:val="both"/>
      </w:pPr>
      <w:r>
        <w:rPr>
          <w:b/>
          <w:bCs/>
        </w:rPr>
        <w:t xml:space="preserve">6.2  </w:t>
      </w:r>
      <w:r>
        <w:t xml:space="preserve">Subordination aux fonds encaissés. Aucune Tranche ne peut être décaissée au-delà des sommes effectivement encaissées sur le Séquestre à la date considérée, déduction faite des Tranches déjà décaissées. Lorsqu’un Jalon est validé alors que le Séquestre n’est pas suffisamment approvisionné, le décaissement est limité au solde disponible ; le reliquat est versé sans nouvelle validation dès l’encaissement des échéances nécessaires.</w:t>
      </w:r>
    </w:p>
    <w:p>
      <w:pPr>
        <w:spacing w:after="110" w:line="276"/>
        <w:jc w:val="both"/>
      </w:pPr>
      <w:r>
        <w:rPr>
          <w:b/>
          <w:bCs/>
        </w:rPr>
        <w:t xml:space="preserve">6.3  </w:t>
      </w:r>
      <w:r>
        <w:t xml:space="preserve">Cohérence des échéances. Les Échéances de Jalons ci-dessus tiennent compte de l’Échéancier de versement : aucune n’est antérieure à la date à laquelle le cumul versé atteint la Tranche correspondante. En cas de retard de versement, les Échéances de Jalons sont reportées d’autant, sans que ce report constitue un manquement du Porteur.</w:t>
      </w:r>
    </w:p>
    <w:p>
      <w:pPr>
        <w:pStyle w:val="Heading2"/>
        <w:spacing w:after="70" w:before="230"/>
      </w:pPr>
      <w:r>
        <w:rPr>
          <w:b/>
          <w:bCs/>
        </w:rPr>
        <w:t xml:space="preserve">Article 7 — Conditions de décaissement</w:t>
      </w:r>
    </w:p>
    <w:p>
      <w:pPr>
        <w:spacing w:after="110" w:line="276"/>
        <w:jc w:val="both"/>
      </w:pPr>
      <w:r>
        <w:rPr>
          <w:b/>
          <w:bCs/>
        </w:rPr>
        <w:t xml:space="preserve">7.1  </w:t>
      </w:r>
      <w:r>
        <w:t xml:space="preserve">Pour chaque Jalon, le porteur soumet les Preuves via la Plateforme.</w:t>
      </w:r>
    </w:p>
    <w:p>
      <w:pPr>
        <w:spacing w:after="110" w:line="276"/>
        <w:jc w:val="both"/>
      </w:pPr>
      <w:r>
        <w:rPr>
          <w:b/>
          <w:bCs/>
        </w:rPr>
        <w:t xml:space="preserve">7.2  </w:t>
      </w:r>
      <w:r>
        <w:t xml:space="preserve">Le décaissement est subordonné à : (i) Preuves conformes ; (ii) validation du Jalon sous </w:t>
      </w:r>
      <w:r>
        <w:rPr>
          <w:b/>
          <w:bCs/>
          <w:color w:val="8A7430"/>
        </w:rPr>
        <w:t xml:space="preserve">[X]</w:t>
      </w:r>
      <w:r>
        <w:t xml:space="preserve"> jours ouvrés ; (iii) absence d'alerte de conformité (KYC/AML).</w:t>
      </w:r>
    </w:p>
    <w:p>
      <w:pPr>
        <w:spacing w:after="110" w:line="276"/>
        <w:jc w:val="both"/>
      </w:pPr>
      <w:r>
        <w:rPr>
          <w:b/>
          <w:bCs/>
        </w:rPr>
        <w:t xml:space="preserve">7.3  </w:t>
      </w:r>
      <w:r>
        <w:t xml:space="preserve">Le décaissement validé est exécuté par l'Opérateur de paiement, une seule fois par Jalon (idempotence). Aucun décaissement pour un Jalon non atteint.</w:t>
      </w:r>
    </w:p>
    <w:p>
      <w:pPr>
        <w:pStyle w:val="Heading2"/>
        <w:spacing w:after="70" w:before="230"/>
      </w:pPr>
      <w:r>
        <w:rPr>
          <w:b/>
          <w:bCs/>
        </w:rPr>
        <w:t xml:space="preserve">Article 8 — Entrée au capital et droits de l'Investisseur</w:t>
      </w:r>
    </w:p>
    <w:p>
      <w:pPr>
        <w:spacing w:after="110" w:line="276"/>
        <w:jc w:val="both"/>
      </w:pPr>
      <w:r>
        <w:rPr>
          <w:b/>
          <w:bCs/>
        </w:rPr>
        <w:t xml:space="preserve">8.1  </w:t>
      </w:r>
      <w:r>
        <w:t xml:space="preserve">L'entrée au capital est réalisée par </w:t>
      </w:r>
      <w:r>
        <w:rPr>
          <w:b/>
          <w:bCs/>
          <w:color w:val="8A7430"/>
        </w:rPr>
        <w:t xml:space="preserve">[AUGMENTATION RÉSERVÉE / CESSION]</w:t>
      </w:r>
      <w:r>
        <w:t xml:space="preserve">, avec accomplissement des formalités OHADA (modification statutaire, agrément des associés le cas échéant, inscription au RCCM).</w:t>
      </w:r>
    </w:p>
    <w:p>
      <w:pPr>
        <w:spacing w:after="110" w:line="276"/>
        <w:jc w:val="both"/>
      </w:pPr>
      <w:r>
        <w:rPr>
          <w:b/>
          <w:bCs/>
        </w:rPr>
        <w:t xml:space="preserve">8.2  </w:t>
      </w:r>
      <w:r>
        <w:t xml:space="preserve">L'Investisseur bénéficie des droits attachés aux parts (information, participation aux assemblées, quote-part des bénéfices distribués) selon les statuts et le pacte d'associés (Annexe 1).</w:t>
      </w:r>
    </w:p>
    <w:p>
      <w:pPr>
        <w:spacing w:after="110" w:line="276"/>
        <w:jc w:val="both"/>
      </w:pPr>
      <w:r>
        <w:rPr>
          <w:b/>
          <w:bCs/>
        </w:rPr>
        <w:t xml:space="preserve">8.3  </w:t>
      </w:r>
      <w:r>
        <w:t xml:space="preserve">Les conditions de sortie (cession, préemption, sorties conjointes) sont régies par le pacte d'associés.</w:t>
      </w:r>
    </w:p>
    <w:p>
      <w:pPr>
        <w:pStyle w:val="Heading2"/>
        <w:spacing w:after="70" w:before="230"/>
      </w:pPr>
      <w:r>
        <w:rPr>
          <w:b/>
          <w:bCs/>
        </w:rPr>
        <w:t xml:space="preserve">Article 9 — Restitution et sortie</w:t>
      </w:r>
    </w:p>
    <w:p>
      <w:pPr>
        <w:spacing w:after="110" w:line="276"/>
        <w:jc w:val="both"/>
      </w:pPr>
      <w:r>
        <w:rPr>
          <w:b/>
          <w:bCs/>
        </w:rPr>
        <w:t xml:space="preserve">9.1  </w:t>
      </w:r>
      <w:r>
        <w:t xml:space="preserve">La participation n'ouvre aucun droit au remboursement du capital ; la liquidité s'obtient par cession des parts selon le pacte.</w:t>
      </w:r>
    </w:p>
    <w:p>
      <w:pPr>
        <w:spacing w:after="110" w:line="276"/>
        <w:jc w:val="both"/>
      </w:pPr>
      <w:r>
        <w:rPr>
          <w:b/>
          <w:bCs/>
        </w:rPr>
        <w:t xml:space="preserve">9.2  </w:t>
      </w:r>
      <w:r>
        <w:rPr>
          <w:b/>
          <w:bCs/>
        </w:rPr>
        <w:t xml:space="preserve">Tranches non décaissées. </w:t>
      </w:r>
      <w:r>
        <w:t xml:space="preserve">Si l'opération d'entrée au capital n'est pas finalisée, les sommes non libérées sont restituées à l'Investisseur depuis le Séquestre.</w:t>
      </w:r>
    </w:p>
    <w:p>
      <w:pPr>
        <w:spacing w:after="110" w:line="276"/>
        <w:jc w:val="both"/>
      </w:pPr>
      <w:r>
        <w:rPr>
          <w:b/>
          <w:bCs/>
        </w:rPr>
        <w:t xml:space="preserve">9.3  </w:t>
      </w:r>
      <w:r>
        <w:rPr>
          <w:b/>
          <w:bCs/>
        </w:rPr>
        <w:t xml:space="preserve">Fraude. </w:t>
      </w:r>
      <w:r>
        <w:t xml:space="preserve">En cas de fausse déclaration ou de détournement établi, restitution intégrale, sans préjudice de dommages-intérêts.</w:t>
      </w:r>
    </w:p>
    <w:p>
      <w:pPr>
        <w:pStyle w:val="Heading2"/>
        <w:spacing w:after="70" w:before="230"/>
      </w:pPr>
      <w:r>
        <w:rPr>
          <w:b/>
          <w:bCs/>
        </w:rPr>
        <w:t xml:space="preserve">Article 10 — Obligations de le porteur</w:t>
      </w:r>
    </w:p>
    <w:p>
      <w:pPr>
        <w:pStyle w:val="ListParagraph"/>
        <w:numPr>
          <w:ilvl w:val="0"/>
          <w:numId w:val="2"/>
        </w:numPr>
        <w:spacing w:after="50" w:line="272"/>
        <w:jc w:val="both"/>
      </w:pPr>
      <w:r>
        <w:t xml:space="preserve">Affecter les fonds exclusivement au Projet, sans détournement.</w:t>
      </w:r>
    </w:p>
    <w:p>
      <w:pPr>
        <w:pStyle w:val="ListParagraph"/>
        <w:numPr>
          <w:ilvl w:val="0"/>
          <w:numId w:val="2"/>
        </w:numPr>
        <w:spacing w:after="50" w:line="272"/>
        <w:jc w:val="both"/>
      </w:pPr>
      <w:r>
        <w:t xml:space="preserve">Réaliser les Jalons et fournir des Preuves sincères et vérifiables.</w:t>
      </w:r>
    </w:p>
    <w:p>
      <w:pPr>
        <w:pStyle w:val="ListParagraph"/>
        <w:numPr>
          <w:ilvl w:val="0"/>
          <w:numId w:val="2"/>
        </w:numPr>
        <w:spacing w:after="50" w:line="272"/>
        <w:jc w:val="both"/>
      </w:pPr>
      <w:r>
        <w:t xml:space="preserve">Assurer un reporting régulier via la Plateforme et maintenir ses informations KYC à jour.</w:t>
      </w:r>
    </w:p>
    <w:p>
      <w:pPr>
        <w:pStyle w:val="ListParagraph"/>
        <w:numPr>
          <w:ilvl w:val="0"/>
          <w:numId w:val="2"/>
        </w:numPr>
        <w:spacing w:after="50" w:line="272"/>
        <w:jc w:val="both"/>
      </w:pPr>
      <w:r>
        <w:t xml:space="preserve">Accomplir les formalités d'entrée au capital et tenir le registre des associés à jour.</w:t>
      </w:r>
    </w:p>
    <w:p>
      <w:pPr>
        <w:pStyle w:val="Heading2"/>
        <w:spacing w:after="70" w:before="230"/>
      </w:pPr>
      <w:r>
        <w:rPr>
          <w:b/>
          <w:bCs/>
        </w:rPr>
        <w:t xml:space="preserve">Article 11 — Obligations de l'investisseur</w:t>
      </w:r>
    </w:p>
    <w:p>
      <w:pPr>
        <w:pStyle w:val="ListParagraph"/>
        <w:numPr>
          <w:ilvl w:val="0"/>
          <w:numId w:val="2"/>
        </w:numPr>
        <w:spacing w:after="50" w:line="272"/>
        <w:jc w:val="both"/>
      </w:pPr>
      <w:r>
        <w:t xml:space="preserve">Verser le Montant sur le Séquestre selon l'Article 3.</w:t>
      </w:r>
    </w:p>
    <w:p>
      <w:pPr>
        <w:pStyle w:val="ListParagraph"/>
        <w:numPr>
          <w:ilvl w:val="0"/>
          <w:numId w:val="2"/>
        </w:numPr>
        <w:spacing w:after="50" w:line="272"/>
        <w:jc w:val="both"/>
      </w:pPr>
      <w:r>
        <w:t xml:space="preserve">Procéder aux validations de Jalons dans les délais et satisfaire à ses obligations KYC/AML.</w:t>
      </w:r>
    </w:p>
    <w:p>
      <w:pPr>
        <w:pStyle w:val="ListParagraph"/>
        <w:numPr>
          <w:ilvl w:val="0"/>
          <w:numId w:val="2"/>
        </w:numPr>
        <w:spacing w:after="50" w:line="272"/>
        <w:jc w:val="both"/>
      </w:pPr>
      <w:r>
        <w:t xml:space="preserve">Reconnaître et assumer le risque de perte du capital (article 4.3).</w:t>
      </w:r>
    </w:p>
    <w:p>
      <w:pPr>
        <w:pStyle w:val="Heading2"/>
        <w:spacing w:after="70" w:before="230"/>
      </w:pPr>
      <w:r>
        <w:rPr>
          <w:b/>
          <w:bCs/>
        </w:rPr>
        <w:t xml:space="preserve">Article 12 — Déclarations et garanties</w:t>
      </w:r>
    </w:p>
    <w:p>
      <w:pPr>
        <w:spacing w:after="110" w:line="276"/>
        <w:jc w:val="both"/>
      </w:pPr>
      <w:r>
        <w:rPr>
          <w:b/>
          <w:bCs/>
        </w:rPr>
        <w:t xml:space="preserve">  </w:t>
      </w:r>
      <w:r>
        <w:rPr>
          <w:b/>
          <w:bCs/>
        </w:rPr>
        <w:t xml:space="preserve">Le Porteur </w:t>
      </w:r>
      <w:r>
        <w:t xml:space="preserve">déclare que le Projet est réel, que les informations sont exactes et qu'il dispose des autorisations nécessaires. </w:t>
      </w:r>
      <w:r>
        <w:rPr>
          <w:b/>
          <w:bCs/>
        </w:rPr>
        <w:t xml:space="preserve">L'Investisseur </w:t>
      </w:r>
      <w:r>
        <w:t xml:space="preserve">déclare que les fonds sont d'origine licite et qu'il agit en son nom, sauf mandat déclaré. Chaque Partie déclare avoir la capacité de contracter.</w:t>
      </w:r>
    </w:p>
    <w:p>
      <w:pPr>
        <w:pStyle w:val="Heading2"/>
        <w:spacing w:after="70" w:before="230"/>
      </w:pPr>
      <w:r>
        <w:rPr>
          <w:b/>
          <w:bCs/>
        </w:rPr>
        <w:t xml:space="preserve">Article 13 — Conformité (KYC / AML / LCB-FT)</w:t>
      </w:r>
    </w:p>
    <w:p>
      <w:pPr>
        <w:spacing w:after="110" w:line="276"/>
        <w:jc w:val="both"/>
      </w:pPr>
      <w:r>
        <w:rPr>
          <w:b/>
          <w:bCs/>
        </w:rPr>
        <w:t xml:space="preserve">  </w:t>
      </w:r>
      <w:r>
        <w:t xml:space="preserve">La présente est subordonnée à la vérification d'identité des deux Parties et à l'absence d'alerte de criblage AML. La Plateforme et l'Opérateur de paiement sont tenus à des obligations de vigilance et, le cas échéant, de déclaration de soupçon auprès de l'autorité compétente (CENTIF), à caractère confidentiel.</w:t>
      </w:r>
    </w:p>
    <w:p>
      <w:pPr>
        <w:pStyle w:val="Heading2"/>
        <w:spacing w:after="70" w:before="230"/>
      </w:pPr>
      <w:r>
        <w:rPr>
          <w:b/>
          <w:bCs/>
        </w:rPr>
        <w:t xml:space="preserve">Article 14 — Rôle de la Plateforme et de l'Opérateur de paiement</w:t>
      </w:r>
    </w:p>
    <w:p>
      <w:pPr>
        <w:spacing w:after="110" w:line="276"/>
        <w:jc w:val="both"/>
      </w:pPr>
      <w:r>
        <w:rPr>
          <w:b/>
          <w:bCs/>
        </w:rPr>
        <w:t xml:space="preserve">  </w:t>
      </w:r>
      <w:r>
        <w:t xml:space="preserve">La Plateforme intervient comme tiers de mise en relation et de vérification ; elle n'est pas partie aux fonds et n'assume pas la bonne fin du Projet. L'Opérateur de paiement assure, en qualité d'agréé, l'encaissement, le cantonnement et le décaissement. L'usage des services est soumis à leurs conditions générales respectives.</w:t>
      </w:r>
    </w:p>
    <w:p>
      <w:pPr>
        <w:pStyle w:val="Heading2"/>
        <w:spacing w:after="70" w:before="230"/>
      </w:pPr>
      <w:r>
        <w:rPr>
          <w:b/>
          <w:bCs/>
        </w:rPr>
        <w:t xml:space="preserve">Article 15 — Défaillance, suspension et résiliation</w:t>
      </w:r>
    </w:p>
    <w:p>
      <w:pPr>
        <w:spacing w:after="110" w:line="276"/>
        <w:jc w:val="both"/>
      </w:pPr>
      <w:r>
        <w:rPr>
          <w:b/>
          <w:bCs/>
        </w:rPr>
        <w:t xml:space="preserve">  </w:t>
      </w:r>
      <w:r>
        <w:t xml:space="preserve">En cas de manquement non réparé sous </w:t>
      </w:r>
      <w:r>
        <w:rPr>
          <w:b/>
          <w:bCs/>
          <w:color w:val="8A7430"/>
        </w:rPr>
        <w:t xml:space="preserve">[X]</w:t>
      </w:r>
      <w:r>
        <w:t xml:space="preserve"> jours après mise en demeure, l'autre Partie peut suspendre l'exécution ou résilier de plein droit. La résiliation entraîne la restitution des Tranches non décaissées selon l'article de remboursement, sans préjudice des recours pour fonds détournés.</w:t>
      </w:r>
    </w:p>
    <w:p>
      <w:pPr>
        <w:pStyle w:val="Heading2"/>
        <w:spacing w:after="70" w:before="230"/>
      </w:pPr>
      <w:r>
        <w:rPr>
          <w:b/>
          <w:bCs/>
        </w:rPr>
        <w:t xml:space="preserve">Article 16 — Force majeure</w:t>
      </w:r>
    </w:p>
    <w:p>
      <w:pPr>
        <w:spacing w:after="120" w:line="276"/>
        <w:jc w:val="both"/>
      </w:pPr>
      <w:r>
        <w:t xml:space="preserve">Aucune Partie n'est responsable d'un manquement résultant d'un cas de force majeure. Au-delà de </w:t>
      </w:r>
      <w:r>
        <w:rPr>
          <w:b/>
          <w:bCs/>
          <w:color w:val="8A7430"/>
        </w:rPr>
        <w:t xml:space="preserve">[X]</w:t>
      </w:r>
      <w:r>
        <w:t xml:space="preserve"> jours, les Parties peuvent résilier, le solde séquestré étant restitué à l'investisseur.</w:t>
      </w:r>
    </w:p>
    <w:p>
      <w:pPr>
        <w:pStyle w:val="Heading2"/>
        <w:spacing w:after="70" w:before="230"/>
      </w:pPr>
      <w:r>
        <w:rPr>
          <w:b/>
          <w:bCs/>
        </w:rPr>
        <w:t xml:space="preserve">Article 17 — Données personnelles et confidentialité</w:t>
      </w:r>
    </w:p>
    <w:p>
      <w:pPr>
        <w:spacing w:after="120" w:line="276"/>
        <w:jc w:val="both"/>
      </w:pPr>
      <w:r>
        <w:t xml:space="preserve">Les Parties traitent les données conformément à la réglementation applicable (RGPD le cas échéant) et préservent la confidentialité, sous réserve des obligations légales de conservation et de déclaration.</w:t>
      </w:r>
    </w:p>
    <w:p>
      <w:pPr>
        <w:pStyle w:val="Heading2"/>
        <w:spacing w:after="70" w:before="230"/>
      </w:pPr>
      <w:r>
        <w:rPr>
          <w:b/>
          <w:bCs/>
        </w:rPr>
        <w:t xml:space="preserve">Article 18 — Droit applicable et règlement des litiges</w:t>
      </w:r>
    </w:p>
    <w:p>
      <w:pPr>
        <w:spacing w:after="110" w:line="276"/>
        <w:jc w:val="both"/>
      </w:pPr>
      <w:r>
        <w:rPr>
          <w:b/>
          <w:bCs/>
        </w:rPr>
        <w:t xml:space="preserve">  </w:t>
      </w:r>
      <w:r>
        <w:t xml:space="preserve">La présente est régie par le droit </w:t>
      </w:r>
      <w:r>
        <w:rPr>
          <w:b/>
          <w:bCs/>
          <w:color w:val="8A7430"/>
        </w:rPr>
        <w:t xml:space="preserve">[SÉNÉGALAIS / OHADA]</w:t>
      </w:r>
      <w:r>
        <w:t xml:space="preserve">. Tout différend fera l'objet d'une tentative de règlement amiable ; à défaut sous </w:t>
      </w:r>
      <w:r>
        <w:rPr>
          <w:b/>
          <w:bCs/>
          <w:color w:val="8A7430"/>
        </w:rPr>
        <w:t xml:space="preserve">[X]</w:t>
      </w:r>
      <w:r>
        <w:t xml:space="preserve"> jours, il sera porté devant </w:t>
      </w:r>
      <w:r>
        <w:rPr>
          <w:b/>
          <w:bCs/>
          <w:color w:val="8A7430"/>
        </w:rPr>
        <w:t xml:space="preserve">[JURIDICTION / ARBITRAGE]</w:t>
      </w:r>
      <w:r>
        <w:t xml:space="preserve">.</w:t>
      </w:r>
    </w:p>
    <w:p>
      <w:pPr>
        <w:pStyle w:val="Heading2"/>
        <w:spacing w:after="70" w:before="230"/>
      </w:pPr>
      <w:r>
        <w:rPr>
          <w:b/>
          <w:bCs/>
        </w:rPr>
        <w:t xml:space="preserve">Article 19 — Dispositions diverses</w:t>
      </w:r>
    </w:p>
    <w:p>
      <w:pPr>
        <w:pStyle w:val="ListParagraph"/>
        <w:numPr>
          <w:ilvl w:val="0"/>
          <w:numId w:val="2"/>
        </w:numPr>
        <w:spacing w:after="50" w:line="272"/>
        <w:jc w:val="both"/>
      </w:pPr>
      <w:r>
        <w:t xml:space="preserve">La présente, avec ses annexes, exprime l'intégralité de l'accord.</w:t>
      </w:r>
    </w:p>
    <w:p>
      <w:pPr>
        <w:pStyle w:val="ListParagraph"/>
        <w:numPr>
          <w:ilvl w:val="0"/>
          <w:numId w:val="2"/>
        </w:numPr>
        <w:spacing w:after="50" w:line="272"/>
        <w:jc w:val="both"/>
      </w:pPr>
      <w:r>
        <w:t xml:space="preserve">Toute modification fait l'objet d'un avenant écrit signé.</w:t>
      </w:r>
    </w:p>
    <w:p>
      <w:pPr>
        <w:pStyle w:val="ListParagraph"/>
        <w:numPr>
          <w:ilvl w:val="0"/>
          <w:numId w:val="2"/>
        </w:numPr>
        <w:spacing w:after="50" w:line="272"/>
        <w:jc w:val="both"/>
      </w:pPr>
      <w:r>
        <w:t xml:space="preserve">La nullité d'une clause n'affecte pas les autres ; les Parties acceptent la signature électronique via la Plateforme.</w:t>
      </w:r>
    </w:p>
    <w:p>
      <w:pPr>
        <w:pageBreakBefore/>
        <w:spacing w:after="80"/>
      </w:pPr>
      <w:r>
        <w:rPr>
          <w:b/>
          <w:bCs/>
          <w:color w:val="1A1A1A"/>
          <w:sz w:val="26"/>
          <w:szCs w:val="26"/>
        </w:rPr>
        <w:t xml:space="preserve">Signatures</w:t>
      </w:r>
    </w:p>
    <w:p>
      <w:pPr>
        <w:spacing w:after="120" w:line="276"/>
        <w:jc w:val="both"/>
      </w:pPr>
      <w:r>
        <w:t xml:space="preserve">Fait à </w:t>
      </w:r>
      <w:r>
        <w:rPr>
          <w:b/>
          <w:bCs/>
          <w:color w:val="8A7430"/>
        </w:rPr>
        <w:t xml:space="preserve">[LIEU]</w:t>
      </w:r>
      <w:r>
        <w:t xml:space="preserve">, le </w:t>
      </w:r>
      <w:r>
        <w:rPr>
          <w:b/>
          <w:bCs/>
          <w:color w:val="8A7430"/>
        </w:rPr>
        <w:t xml:space="preserve">[DATE]</w:t>
      </w:r>
      <w:r>
        <w:t xml:space="preserve">, en deux exemplaires (ou par voie électronique).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L'Investisseur</w:t>
            </w:r>
          </w:p>
        </w:tc>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Le Porteur</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Nom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Nom / Raison sociale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Qualité :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Représentant :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Date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Signature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Signature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 </w:t>
            </w:r>
          </w:p>
        </w:tc>
      </w:tr>
    </w:tbl>
    <w:p>
      <w:pPr>
        <w:pStyle w:val="Heading1"/>
        <w:pageBreakBefore/>
      </w:pPr>
      <w:r>
        <w:t xml:space="preserve">Annexe 1 — Échéancier des jalons et modalités spécifiques</w:t>
      </w:r>
    </w:p>
    <w:p>
      <w:pPr>
        <w:pBdr>
          <w:bottom w:val="single" w:color="C5A54E" w:sz="12" w:space="1"/>
        </w:pBdr>
        <w:spacing w:after="13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700"/>
        <w:gridCol w:w="1500"/>
        <w:gridCol w:w="2026"/>
      </w:tblGrid>
      <w:tr>
        <w:trPr>
          <w:tblHeader/>
        </w:trPr>
        <w:tc>
          <w:tcPr>
            <w:tcW w:type="dxa" w:w="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2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Livrable / critère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20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Total</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bl>
    <w:p>
      <w:pPr>
        <w:pStyle w:val="Heading2"/>
      </w:pPr>
      <w:r>
        <w:t xml:space="preserve">Échéancier de versement de l’Investisseur — alimentation du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100"/>
        <w:gridCol w:w="2100"/>
        <w:gridCol w:w="1926"/>
      </w:tblGrid>
      <w:tr>
        <w:trPr>
          <w:tblHeader/>
        </w:trPr>
        <w:tc>
          <w:tcPr>
            <w:tcW w:type="dxa" w:w="8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Date d’exigibilité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Montant appelé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Cumul versé</w:t>
            </w:r>
          </w:p>
        </w:tc>
        <w:tc>
          <w:tcPr>
            <w:tcW w:type="dxa" w:w="19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Moyen de paiement</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[N°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[DATE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[MONTANT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[CUMUL ÉCH.]</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[MOYEN ÉCH.]</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Total</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[TOTAL VERSEMENTS]</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r>
    </w:tbl>
    <w:p>
      <w:pPr>
        <w:spacing w:after="110" w:line="276"/>
        <w:jc w:val="both"/>
      </w:pPr>
      <w:r>
        <w:rPr>
          <w:b/>
          <w:bCs/>
          <w:color w:val="8A7430"/>
        </w:rPr>
        <w:t xml:space="preserve">[NOTE VERSEMENTS]</w:t>
      </w:r>
    </w:p>
    <w:p>
      <w:pPr>
        <w:spacing w:after="80"/>
      </w:pPr>
      <w:r>
        <w:t xml:space="preserve"/>
      </w:r>
    </w:p>
    <w:p>
      <w:pPr>
        <w:spacing w:after="80" w:line="300"/>
      </w:pPr>
      <w:r>
        <w:rPr>
          <w:b/>
          <w:bCs/>
        </w:rPr>
        <w:t xml:space="preserve">Répartition du capital avant / après l'opération : </w:t>
      </w:r>
      <w:r>
        <w:rPr>
          <w:color w:val="5F5E5A"/>
        </w:rPr>
        <w:t xml:space="preserve">……………………………………………………………</w:t>
      </w:r>
    </w:p>
    <w:p>
      <w:pPr>
        <w:spacing w:after="80" w:line="300"/>
      </w:pPr>
      <w:r>
        <w:rPr>
          <w:b/>
          <w:bCs/>
        </w:rPr>
        <w:t xml:space="preserve">Référence et version du pacte d'associés : </w:t>
      </w:r>
      <w:r>
        <w:rPr>
          <w:color w:val="5F5E5A"/>
        </w:rPr>
        <w:t xml:space="preserve">……………………………………………………………</w:t>
      </w:r>
    </w:p>
    <w:p>
      <w:pPr>
        <w:spacing w:after="80" w:line="300"/>
      </w:pPr>
      <w:r>
        <w:rPr>
          <w:b/>
          <w:bCs/>
        </w:rPr>
        <w:t xml:space="preserve">Délais : validation (X), restitution, inactivité (90 j) : </w:t>
      </w:r>
      <w:r>
        <w:rPr>
          <w:color w:val="5F5E5A"/>
        </w:rPr>
        <w:t xml:space="preserve">……………………………………………………………</w:t>
      </w:r>
    </w:p>
    <w:p>
      <w:pPr>
        <w:pStyle w:val="Heading1"/>
      </w:pPr>
      <w:r>
        <w:t xml:space="preserve">Annexe 2 — Description du Projet</w:t>
      </w:r>
    </w:p>
    <w:p>
      <w:pPr>
        <w:pBdr>
          <w:bottom w:val="single" w:color="C5A54E" w:sz="12" w:space="1"/>
        </w:pBdr>
        <w:spacing w:after="130" w:before="20"/>
      </w:pPr>
      <w:r>
        <w:t xml:space="preserve"/>
      </w:r>
    </w:p>
    <w:p>
      <w:pPr>
        <w:spacing w:after="80" w:line="300"/>
      </w:pPr>
      <w:r>
        <w:rPr>
          <w:b/>
          <w:bCs/>
        </w:rPr>
        <w:t xml:space="preserve">Intitulé, secteur et localisation du Projet : </w:t>
      </w:r>
      <w:r>
        <w:rPr>
          <w:color w:val="5F5E5A"/>
        </w:rPr>
        <w:t xml:space="preserve">……………………………………………………………</w:t>
      </w:r>
    </w:p>
    <w:p>
      <w:pPr>
        <w:spacing w:after="80" w:line="300"/>
      </w:pPr>
      <w:r>
        <w:rPr>
          <w:b/>
          <w:bCs/>
        </w:rPr>
        <w:t xml:space="preserve">Objet et finalité des fonds : </w:t>
      </w:r>
      <w:r>
        <w:rPr>
          <w:color w:val="5F5E5A"/>
        </w:rPr>
        <w:t xml:space="preserve">……………………………………………………………</w:t>
      </w:r>
    </w:p>
    <w:p>
      <w:pPr>
        <w:spacing w:after="80" w:line="300"/>
      </w:pPr>
      <w:r>
        <w:rPr>
          <w:b/>
          <w:bCs/>
        </w:rPr>
        <w:t xml:space="preserve">Niveau de vérification (KYC le porteur, statut du Projet) : </w:t>
      </w:r>
      <w:r>
        <w:rPr>
          <w:color w:val="5F5E5A"/>
        </w:rPr>
        <w:t xml:space="preserve">……………………………………………………………</w:t>
      </w:r>
    </w:p>
    <w:p>
      <w:pPr>
        <w:spacing w:after="80" w:line="300"/>
      </w:pPr>
      <w:r>
        <w:rPr>
          <w:b/>
          <w:bCs/>
        </w:rPr>
        <w:t xml:space="preserve">Facteurs de risque principaux : </w:t>
      </w:r>
      <w:r>
        <w:rPr>
          <w:color w:val="5F5E5A"/>
        </w:rPr>
        <w:t xml:space="preserve">……………………………………………………………</w:t>
      </w:r>
    </w:p>
    <w:p>
      <w:pPr>
        <w:spacing w:before="200"/>
      </w:pPr>
      <w:r>
        <w:rPr>
          <w:i/>
          <w:iCs/>
          <w:color w:val="5F5E5A"/>
          <w:sz w:val="18"/>
          <w:szCs w:val="18"/>
        </w:rPr>
        <w:t xml:space="preserve">GlobalAfrica+ — Convention d'investissement (Type : Participation (equity), modèle-type). À faire valider par un conseil juridique avant usage.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r>
      <w:rPr>
        <w:color w:val="5F5E5A"/>
        <w:sz w:val="14"/>
        <w:szCs w:val="14"/>
      </w:rPr>
      <w:t xml:space="preserve">  —  paraphes : ……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4E" w:sz="6" w:space="6"/>
      </w:pBdr>
      <w:tabs>
        <w:tab w:val="right" w:pos="9026"/>
      </w:tabs>
    </w:pPr>
    <w:r>
      <w:rPr>
        <w:b/>
        <w:bCs/>
        <w:color w:val="1A1A1A"/>
        <w:sz w:val="16"/>
        <w:szCs w:val="16"/>
      </w:rPr>
      <w:t xml:space="preserve">GlobalAfrica+</w:t>
    </w:r>
    <w:r>
      <w:rPr>
        <w:color w:val="5F5E5A"/>
        <w:sz w:val="16"/>
        <w:szCs w:val="16"/>
      </w:rPr>
      <w:t xml:space="preserve">	Convention — Participation (equity)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60"/>
      <w:outlineLvl w:val="0"/>
    </w:pPr>
    <w:rPr>
      <w:rFonts w:ascii="Arial" w:cs="Arial" w:eastAsia="Arial" w:hAnsi="Arial"/>
      <w:b/>
      <w:bCs/>
      <w:color w:val="1A1A1A"/>
      <w:sz w:val="28"/>
      <w:szCs w:val="28"/>
    </w:rPr>
  </w:style>
  <w:style w:type="paragraph" w:styleId="Heading2">
    <w:name w:val="Heading 2"/>
    <w:basedOn w:val="Normal"/>
    <w:next w:val="Normal"/>
    <w:qFormat/>
    <w:pPr>
      <w:spacing w:after="70" w:before="22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d'investissement (Type : Participation (equity)) — GlobalAfrica+</dc:title>
  <dc:creator>GlobalAfrica+</dc:creator>
  <cp:lastModifiedBy>Un-named</cp:lastModifiedBy>
  <cp:revision>1</cp:revision>
  <dcterms:created xsi:type="dcterms:W3CDTF">2026-06-26T16:28:56.537Z</dcterms:created>
  <dcterms:modified xsi:type="dcterms:W3CDTF">2026-06-26T16:28:56.552Z</dcterms:modified>
</cp:coreProperties>
</file>

<file path=docProps/custom.xml><?xml version="1.0" encoding="utf-8"?>
<Properties xmlns="http://schemas.openxmlformats.org/officeDocument/2006/custom-properties" xmlns:vt="http://schemas.openxmlformats.org/officeDocument/2006/docPropsVTypes"/>
</file>