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jc w:val="center"/>
      </w:pPr>
      <w:r>
        <w:rPr>
          <w:b/>
          <w:bCs/>
          <w:color w:val="1A1A1A"/>
          <w:sz w:val="34"/>
          <w:szCs w:val="34"/>
        </w:rPr>
        <w:t xml:space="preserve">GlobalAfrica+</w:t>
      </w:r>
    </w:p>
    <w:p>
      <w:pPr>
        <w:pBdr>
          <w:bottom w:val="single" w:color="C5A54E" w:sz="16" w:space="6"/>
        </w:pBdr>
        <w:spacing w:after="0" w:before="40"/>
        <w:jc w:val="center"/>
      </w:pPr>
      <w:r>
        <w:rPr>
          <w:sz w:val="6"/>
          <w:szCs w:val="6"/>
        </w:rPr>
        <w:t xml:space="preserve"/>
      </w:r>
    </w:p>
    <w:p>
      <w:pPr>
        <w:spacing w:after="50" w:before="200"/>
        <w:jc w:val="center"/>
      </w:pPr>
      <w:r>
        <w:rPr>
          <w:b/>
          <w:bCs/>
          <w:color w:val="1A1A1A"/>
          <w:sz w:val="32"/>
          <w:szCs w:val="32"/>
        </w:rPr>
        <w:t xml:space="preserve">CONVENTION D'INVESTISSEMENT</w:t>
      </w:r>
    </w:p>
    <w:p>
      <w:pPr>
        <w:spacing w:after="30"/>
        <w:jc w:val="center"/>
      </w:pPr>
      <w:r>
        <w:rPr>
          <w:b/>
          <w:bCs/>
          <w:color w:val="8A7430"/>
          <w:sz w:val="26"/>
          <w:szCs w:val="26"/>
        </w:rPr>
        <w:t xml:space="preserve">TYPE : PRÊT</w:t>
      </w:r>
    </w:p>
    <w:p>
      <w:pPr>
        <w:spacing w:after="180"/>
        <w:jc w:val="center"/>
      </w:pPr>
      <w:r>
        <w:rPr>
          <w:i/>
          <w:iCs/>
          <w:color w:val="5F5E5A"/>
          <w:sz w:val="21"/>
          <w:szCs w:val="21"/>
        </w:rPr>
        <w:t xml:space="preserve">Prêt d'argent rémunéré — mise à disposition par jalons via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4344E" w:sz="18" w:space="4"/>
              <w:bottom w:val="none"/>
              <w:right w:val="none"/>
            </w:tcBorders>
            <w:shd w:fill="FAE9EC" w:val="clear"/>
            <w:tcMar>
              <w:top w:type="dxa" w:w="120"/>
              <w:left w:type="dxa" w:w="180"/>
              <w:bottom w:type="dxa" w:w="120"/>
              <w:right w:type="dxa" w:w="180"/>
            </w:tcMar>
          </w:tcPr>
          <w:p>
            <w:pPr>
              <w:spacing w:line="272"/>
              <w:jc w:val="both"/>
            </w:pPr>
            <w:r>
              <w:rPr>
                <w:b/>
                <w:bCs/>
              </w:rPr>
              <w:t xml:space="preserve">Avertissement — modèle à faire valider. </w:t>
            </w:r>
            <w:r>
              <w:t xml:space="preserve">Ce document est un modèle de travail et ne constitue pas un conseil juridique. Il doit être relu et adapté par un avocat ou un juriste compétent au regard du droit applicable (OHADA / Sénégal, réglementation UEMOA) et du statut réglementaire de la plateforme et de l'opérateur de paiement, avant signature. Les champs en doré (ex. </w:t>
            </w:r>
            <w:r>
              <w:rPr>
                <w:b/>
                <w:bCs/>
                <w:color w:val="8A7430"/>
              </w:rPr>
              <w:t xml:space="preserve">[À COMPLÉTER]</w:t>
            </w:r>
            <w:r>
              <w:t xml:space="preserve">) sont à renseigner pour chaque opération.</w:t>
            </w:r>
          </w:p>
        </w:tc>
      </w:tr>
    </w:tbl>
    <w:p>
      <w:pPr>
        <w:spacing w:after="80"/>
      </w:pPr>
      <w:r>
        <w:t xml:space="preserve"/>
      </w:r>
    </w:p>
    <w:p>
      <w:pPr>
        <w:pStyle w:val="Heading1"/>
      </w:pPr>
      <w:r>
        <w:t xml:space="preserve">Entre les soussignés</w:t>
      </w:r>
    </w:p>
    <w:p>
      <w:pPr>
        <w:pBdr>
          <w:bottom w:val="single" w:color="C5A54E" w:sz="12" w:space="1"/>
        </w:pBdr>
        <w:spacing w:after="130" w:before="20"/>
      </w:pPr>
      <w:r>
        <w:t xml:space="preserve"/>
      </w:r>
    </w:p>
    <w:p>
      <w:pPr>
        <w:spacing w:after="120" w:line="276"/>
        <w:jc w:val="both"/>
      </w:pPr>
      <w:r>
        <w:rPr>
          <w:b/>
          <w:bCs/>
        </w:rPr>
        <w:t xml:space="preserve">le Prêteur — </w:t>
      </w:r>
      <w:r>
        <w:rPr>
          <w:b/>
          <w:bCs/>
          <w:color w:val="8A7430"/>
        </w:rPr>
        <w:t xml:space="preserve">[NOM / RAISON SOCIALE]</w:t>
      </w:r>
      <w:r>
        <w:t xml:space="preserve">, </w:t>
      </w:r>
      <w:r>
        <w:rPr>
          <w:b/>
          <w:bCs/>
          <w:color w:val="8A7430"/>
        </w:rPr>
        <w:t xml:space="preserve">[NÉ(E) LE / IMMATRICULÉ(E) SOUS]</w:t>
      </w:r>
      <w:r>
        <w:t xml:space="preserve">, demeurant / siège à </w:t>
      </w:r>
      <w:r>
        <w:rPr>
          <w:b/>
          <w:bCs/>
          <w:color w:val="8A7430"/>
        </w:rPr>
        <w:t xml:space="preserve">[ADRESSE, PAYS]</w:t>
      </w:r>
      <w:r>
        <w:t xml:space="preserve">, titulaire d'un compte vérifié sur GlobalAfrica+ (réf. KYC </w:t>
      </w:r>
      <w:r>
        <w:rPr>
          <w:b/>
          <w:bCs/>
          <w:color w:val="8A7430"/>
        </w:rPr>
        <w:t xml:space="preserve">[ID]</w:t>
      </w:r>
      <w:r>
        <w:t xml:space="preserve">),</w:t>
      </w:r>
    </w:p>
    <w:p>
      <w:pPr>
        <w:spacing w:after="120" w:line="276"/>
        <w:jc w:val="both"/>
      </w:pPr>
      <w:r>
        <w:t xml:space="preserve">ci-après « </w:t>
      </w:r>
      <w:r>
        <w:rPr>
          <w:b/>
          <w:bCs/>
        </w:rPr>
        <w:t xml:space="preserve">le Prêteur</w:t>
      </w:r>
      <w:r>
        <w:t xml:space="preserve"> », d'une part,</w:t>
      </w:r>
    </w:p>
    <w:p>
      <w:pPr>
        <w:spacing w:after="120" w:line="276"/>
        <w:jc w:val="both"/>
      </w:pPr>
      <w:r>
        <w:rPr>
          <w:b/>
          <w:bCs/>
        </w:rPr>
        <w:t xml:space="preserve">l'Emprunteur — </w:t>
      </w:r>
      <w:r>
        <w:rPr>
          <w:b/>
          <w:bCs/>
          <w:color w:val="8A7430"/>
        </w:rPr>
        <w:t xml:space="preserve">[RAISON SOCIALE]</w:t>
      </w:r>
      <w:r>
        <w:t xml:space="preserve">, </w:t>
      </w:r>
      <w:r>
        <w:rPr>
          <w:b/>
          <w:bCs/>
          <w:color w:val="8A7430"/>
        </w:rPr>
        <w:t xml:space="preserve">[FORME]</w:t>
      </w:r>
      <w:r>
        <w:t xml:space="preserve">, RCCM </w:t>
      </w:r>
      <w:r>
        <w:rPr>
          <w:b/>
          <w:bCs/>
          <w:color w:val="8A7430"/>
        </w:rPr>
        <w:t xml:space="preserve">[N°]</w:t>
      </w:r>
      <w:r>
        <w:t xml:space="preserve">, identifiant fiscal </w:t>
      </w:r>
      <w:r>
        <w:rPr>
          <w:b/>
          <w:bCs/>
          <w:color w:val="8A7430"/>
        </w:rPr>
        <w:t xml:space="preserve">[NINEA / N°]</w:t>
      </w:r>
      <w:r>
        <w:t xml:space="preserve">, siège à </w:t>
      </w:r>
      <w:r>
        <w:rPr>
          <w:b/>
          <w:bCs/>
          <w:color w:val="8A7430"/>
        </w:rPr>
        <w:t xml:space="preserve">[ADRESSE, PAYS]</w:t>
      </w:r>
      <w:r>
        <w:t xml:space="preserve">, représenté(e) par </w:t>
      </w:r>
      <w:r>
        <w:rPr>
          <w:b/>
          <w:bCs/>
          <w:color w:val="8A7430"/>
        </w:rPr>
        <w:t xml:space="preserve">[NOM, QUALITÉ]</w:t>
      </w:r>
      <w:r>
        <w:t xml:space="preserve">,</w:t>
      </w:r>
    </w:p>
    <w:p>
      <w:pPr>
        <w:spacing w:after="120" w:line="276"/>
        <w:jc w:val="both"/>
      </w:pPr>
      <w:r>
        <w:t xml:space="preserve">ci-après « </w:t>
      </w:r>
      <w:r>
        <w:rPr>
          <w:b/>
          <w:bCs/>
        </w:rPr>
        <w:t xml:space="preserve">l'Emprunteur</w:t>
      </w:r>
      <w:r>
        <w:t xml:space="preserve"> », d'autre part,</w:t>
      </w:r>
    </w:p>
    <w:p>
      <w:pPr>
        <w:spacing w:after="120" w:line="276"/>
        <w:jc w:val="both"/>
      </w:pPr>
      <w:r>
        <w:t xml:space="preserve">ci-après ensemble les « </w:t>
      </w:r>
      <w:r>
        <w:rPr>
          <w:b/>
          <w:bCs/>
        </w:rPr>
        <w:t xml:space="preserve">Parties</w:t>
      </w:r>
      <w:r>
        <w:t xml:space="preserve"> ».</w:t>
      </w:r>
    </w:p>
    <w:p>
      <w:pPr>
        <w:spacing w:after="120" w:line="276"/>
        <w:jc w:val="both"/>
      </w:pPr>
      <w:r>
        <w:rPr>
          <w:b/>
          <w:bCs/>
        </w:rPr>
        <w:t xml:space="preserve">Interviennent sans être Parties : </w:t>
      </w:r>
      <w:r>
        <w:t xml:space="preserve">la plateforme GlobalAfrica+ (mise en relation et vérification — la « </w:t>
      </w:r>
      <w:r>
        <w:rPr>
          <w:b/>
          <w:bCs/>
        </w:rPr>
        <w:t xml:space="preserve">Plateforme</w:t>
      </w:r>
      <w:r>
        <w:t xml:space="preserve"> ») et </w:t>
      </w:r>
      <w:r>
        <w:rPr>
          <w:b/>
          <w:bCs/>
          <w:color w:val="8A7430"/>
        </w:rPr>
        <w:t xml:space="preserve">[OPÉRATEUR DE PAIEMENT AGRÉÉ — ex. PayDunya]</w:t>
      </w:r>
      <w:r>
        <w:t xml:space="preserve"> (encaissement, cantonnement et décaissement — l'« </w:t>
      </w:r>
      <w:r>
        <w:rPr>
          <w:b/>
          <w:bCs/>
        </w:rPr>
        <w:t xml:space="preserve">Opérateur de paiement</w:t>
      </w:r>
      <w:r>
        <w:t xml:space="preserve"> »).</w:t>
      </w:r>
    </w:p>
    <w:p>
      <w:pPr>
        <w:pStyle w:val="Heading1"/>
      </w:pPr>
      <w:r>
        <w:t xml:space="preserve">Préambule</w:t>
      </w:r>
    </w:p>
    <w:p>
      <w:pPr>
        <w:pBdr>
          <w:bottom w:val="single" w:color="C5A54E" w:sz="12" w:space="1"/>
        </w:pBdr>
        <w:spacing w:after="130" w:before="20"/>
      </w:pPr>
      <w:r>
        <w:t xml:space="preserve"/>
      </w:r>
    </w:p>
    <w:p>
      <w:pPr>
        <w:spacing w:after="120" w:line="276"/>
        <w:jc w:val="both"/>
      </w:pPr>
      <w:r>
        <w:t xml:space="preserve">La Plateforme organise un financement sécurisé : les fonds sont placés sous séquestre puis libérés par Tranches, chacune conditionnée à l'atteinte d'un Jalon justifié. C'est dans ce cadre que les Parties sont convenues de ce qui suit.</w:t>
      </w:r>
    </w:p>
    <w:p>
      <w:pPr>
        <w:pStyle w:val="Heading2"/>
        <w:spacing w:after="70" w:before="230"/>
      </w:pPr>
      <w:r>
        <w:rPr>
          <w:b/>
          <w:bCs/>
        </w:rPr>
        <w:t xml:space="preserve">Article 1 — Définitions</w:t>
      </w:r>
    </w:p>
    <w:p>
      <w:pPr>
        <w:pStyle w:val="ListParagraph"/>
        <w:numPr>
          <w:ilvl w:val="0"/>
          <w:numId w:val="2"/>
        </w:numPr>
        <w:spacing w:after="50" w:line="272"/>
        <w:jc w:val="both"/>
      </w:pPr>
      <w:r>
        <w:rPr>
          <w:b/>
          <w:bCs/>
        </w:rPr>
        <w:t xml:space="preserve">Séquestre : </w:t>
      </w:r>
      <w:r>
        <w:t xml:space="preserve">compte de cantonnement tenu par l'Opérateur de paiement, conservant les fonds hors des mains du l'emprunteur jusqu'à libération.</w:t>
      </w:r>
    </w:p>
    <w:p>
      <w:pPr>
        <w:pStyle w:val="ListParagraph"/>
        <w:numPr>
          <w:ilvl w:val="0"/>
          <w:numId w:val="2"/>
        </w:numPr>
        <w:spacing w:after="50" w:line="272"/>
        <w:jc w:val="both"/>
      </w:pPr>
      <w:r>
        <w:rPr>
          <w:b/>
          <w:bCs/>
        </w:rPr>
        <w:t xml:space="preserve">Jalon : </w:t>
      </w:r>
      <w:r>
        <w:t xml:space="preserve">étape vérifiable du Projet, associée à une tranche de financement et à des preuves attendues.</w:t>
      </w:r>
    </w:p>
    <w:p>
      <w:pPr>
        <w:pStyle w:val="ListParagraph"/>
        <w:numPr>
          <w:ilvl w:val="0"/>
          <w:numId w:val="2"/>
        </w:numPr>
        <w:spacing w:after="50" w:line="272"/>
        <w:jc w:val="both"/>
      </w:pPr>
      <w:r>
        <w:rPr>
          <w:b/>
          <w:bCs/>
        </w:rPr>
        <w:t xml:space="preserve">Tranche : </w:t>
      </w:r>
      <w:r>
        <w:t xml:space="preserve">fraction du Montant libérée au titre d'un Jalon validé.</w:t>
      </w:r>
    </w:p>
    <w:p>
      <w:pPr>
        <w:pStyle w:val="ListParagraph"/>
        <w:numPr>
          <w:ilvl w:val="0"/>
          <w:numId w:val="2"/>
        </w:numPr>
        <w:spacing w:after="50" w:line="272"/>
        <w:jc w:val="both"/>
      </w:pPr>
      <w:r>
        <w:rPr>
          <w:b/>
          <w:bCs/>
        </w:rPr>
        <w:t xml:space="preserve">Décaissement : </w:t>
      </w:r>
      <w:r>
        <w:t xml:space="preserve">versement effectif d'une Tranche après validation du Jalon.</w:t>
      </w:r>
    </w:p>
    <w:p>
      <w:pPr>
        <w:pStyle w:val="ListParagraph"/>
        <w:numPr>
          <w:ilvl w:val="0"/>
          <w:numId w:val="2"/>
        </w:numPr>
        <w:spacing w:after="50" w:line="272"/>
        <w:jc w:val="both"/>
      </w:pPr>
      <w:r>
        <w:rPr>
          <w:b/>
          <w:bCs/>
        </w:rPr>
        <w:t xml:space="preserve">Preuves : </w:t>
      </w:r>
      <w:r>
        <w:t xml:space="preserve">éléments justificatifs de la réalisation d'un Jalon.</w:t>
      </w:r>
    </w:p>
    <w:p>
      <w:pPr>
        <w:pStyle w:val="ListParagraph"/>
        <w:numPr>
          <w:ilvl w:val="0"/>
          <w:numId w:val="2"/>
        </w:numPr>
        <w:spacing w:after="50" w:line="272"/>
        <w:jc w:val="both"/>
      </w:pPr>
      <w:r>
        <w:rPr>
          <w:b/>
          <w:bCs/>
        </w:rPr>
        <w:t xml:space="preserve">Principal : </w:t>
      </w:r>
      <w:r>
        <w:t xml:space="preserve">montant prêté, hors intérêts.</w:t>
      </w:r>
    </w:p>
    <w:p>
      <w:pPr>
        <w:pStyle w:val="ListParagraph"/>
        <w:numPr>
          <w:ilvl w:val="0"/>
          <w:numId w:val="2"/>
        </w:numPr>
        <w:spacing w:after="50" w:line="272"/>
        <w:jc w:val="both"/>
      </w:pPr>
      <w:r>
        <w:rPr>
          <w:b/>
          <w:bCs/>
        </w:rPr>
        <w:t xml:space="preserve">Échéancier : </w:t>
      </w:r>
      <w:r>
        <w:t xml:space="preserve">calendrier de remboursement du capital et des intérêts (Annexe 1).</w:t>
      </w:r>
    </w:p>
    <w:p>
      <w:pPr>
        <w:pStyle w:val="Heading2"/>
        <w:spacing w:after="70" w:before="230"/>
      </w:pPr>
      <w:r>
        <w:rPr>
          <w:b/>
          <w:bCs/>
        </w:rPr>
        <w:t xml:space="preserve">Article 2 — Objet</w:t>
      </w:r>
    </w:p>
    <w:p>
      <w:pPr>
        <w:spacing w:after="120" w:line="276"/>
        <w:jc w:val="both"/>
      </w:pPr>
      <w:r>
        <w:t xml:space="preserve">Définir les conditions dans lesquelles le Prêteur consent un prêt à l'Emprunteur pour financer le Projet (Annexe 2).</w:t>
      </w:r>
    </w:p>
    <w:p>
      <w:pPr>
        <w:pStyle w:val="Heading2"/>
        <w:spacing w:after="70" w:before="230"/>
      </w:pPr>
      <w:r>
        <w:rPr>
          <w:b/>
          <w:bCs/>
        </w:rPr>
        <w:t xml:space="preserve">Article 3 — Montant et devise</w:t>
      </w:r>
    </w:p>
    <w:p>
      <w:pPr>
        <w:spacing w:after="110" w:line="276"/>
        <w:jc w:val="both"/>
      </w:pPr>
      <w:r>
        <w:rPr>
          <w:b/>
          <w:bCs/>
        </w:rPr>
        <w:t xml:space="preserve">3.1  </w:t>
      </w:r>
      <w:r>
        <w:t xml:space="preserve">Le principal du prêt s'élève à </w:t>
      </w:r>
      <w:r>
        <w:rPr>
          <w:b/>
          <w:bCs/>
          <w:color w:val="8A7430"/>
        </w:rPr>
        <w:t xml:space="preserve">[MONTANT EN CHIFFRES ET LETTRES]</w:t>
      </w:r>
      <w:r>
        <w:t xml:space="preserve"> </w:t>
      </w:r>
      <w:r>
        <w:rPr>
          <w:b/>
          <w:bCs/>
          <w:color w:val="8A7430"/>
        </w:rPr>
        <w:t xml:space="preserve">[DEVISE]</w:t>
      </w:r>
      <w:r>
        <w:t xml:space="preserve"> (le « Montant » ou le « Principal »), mis à disposition sur le Séquestre par </w:t>
      </w:r>
      <w:r>
        <w:rPr>
          <w:b/>
          <w:bCs/>
          <w:color w:val="8A7430"/>
        </w:rPr>
        <w:t xml:space="preserve">[MOYEN]</w:t>
      </w:r>
      <w:r>
        <w:t xml:space="preserve"> au plus tard le </w:t>
      </w:r>
      <w:r>
        <w:rPr>
          <w:b/>
          <w:bCs/>
          <w:color w:val="8A7430"/>
        </w:rPr>
        <w:t xml:space="preserve">[DATE]</w:t>
      </w:r>
      <w:r>
        <w:t xml:space="preserve">.</w:t>
      </w:r>
    </w:p>
    <w:p>
      <w:pPr>
        <w:spacing w:after="110" w:line="276"/>
        <w:jc w:val="both"/>
      </w:pPr>
      <w:r>
        <w:rPr>
          <w:b/>
          <w:bCs/>
        </w:rPr>
        <w:t xml:space="preserve">3.2  </w:t>
      </w:r>
      <w:r>
        <w:t xml:space="preserve">Modalité de versement. Le Montant est porté au Séquestre </w:t>
      </w:r>
      <w:r>
        <w:rPr>
          <w:b/>
          <w:bCs/>
          <w:color w:val="8A7430"/>
        </w:rPr>
        <w:t xml:space="preserve">[MODALITÉ DE VERSEMENT]</w:t>
      </w:r>
      <w:r>
        <w:t xml:space="preserve">. Chaque échéance est appelée à sa date d’exigibilité par l’Opérateur de paiement, sur le moyen de paiement choisi par le Prêteur lors de la souscription. L’Échéancier de versement figure en Annexe 1 et fait partie intégrante de la présente.</w:t>
      </w:r>
    </w:p>
    <w:p>
      <w:pPr>
        <w:spacing w:after="110" w:line="276"/>
        <w:jc w:val="both"/>
      </w:pPr>
      <w:r>
        <w:rPr>
          <w:b/>
          <w:bCs/>
        </w:rPr>
        <w:t xml:space="preserve">3.3  </w:t>
      </w:r>
      <w:r>
        <w:t xml:space="preserve">Portée du versement fractionné. Le Montant n’est réputé intégralement mis à disposition qu’au règlement de la dernière échéance. Le non-règlement d’une échéance à son terme suspend de plein droit les décaissements à venir, dans les conditions de l’Article 6.2. À défaut de régularisation sous </w:t>
      </w:r>
      <w:r>
        <w:rPr>
          <w:b/>
          <w:bCs/>
          <w:color w:val="8A7430"/>
        </w:rPr>
        <w:t xml:space="preserve">[X]</w:t>
      </w:r>
      <w:r>
        <w:t xml:space="preserve"> jours, la présente peut être résiliée conformément à l’Article 15, les sommes déjà versées et non décaissées étant restituées au Prêteur après déduction des frais irrécupérables.</w:t>
      </w:r>
    </w:p>
    <w:p>
      <w:pPr>
        <w:pStyle w:val="Heading2"/>
        <w:spacing w:after="70" w:before="230"/>
      </w:pPr>
      <w:r>
        <w:rPr>
          <w:b/>
          <w:bCs/>
        </w:rPr>
        <w:t xml:space="preserve">Article 4 — Nature du prêt et intérêts</w:t>
      </w:r>
    </w:p>
    <w:p>
      <w:pPr>
        <w:spacing w:after="110" w:line="276"/>
        <w:jc w:val="both"/>
      </w:pPr>
      <w:r>
        <w:rPr>
          <w:b/>
          <w:bCs/>
        </w:rPr>
        <w:t xml:space="preserve">4.1  </w:t>
      </w:r>
      <w:r>
        <w:t xml:space="preserve">L'opération est un prêt d'argent : le Prêteur met à disposition le Principal, que l'Emprunteur s'engage à rembourser, majoré des intérêts.</w:t>
      </w:r>
    </w:p>
    <w:p>
      <w:pPr>
        <w:spacing w:after="110" w:line="276"/>
        <w:jc w:val="both"/>
      </w:pPr>
      <w:r>
        <w:rPr>
          <w:b/>
          <w:bCs/>
        </w:rPr>
        <w:t xml:space="preserve">4.2  </w:t>
      </w:r>
      <w:r>
        <w:t xml:space="preserve">Taux d'intérêt : </w:t>
      </w:r>
      <w:r>
        <w:rPr>
          <w:b/>
          <w:bCs/>
          <w:color w:val="8A7430"/>
        </w:rPr>
        <w:t xml:space="preserve">[TAUX]</w:t>
      </w:r>
      <w:r>
        <w:t xml:space="preserve"> % l'an, </w:t>
      </w:r>
      <w:r>
        <w:rPr>
          <w:b/>
          <w:bCs/>
          <w:color w:val="8A7430"/>
        </w:rPr>
        <w:t xml:space="preserve">[FIXE / VARIABLE]</w:t>
      </w:r>
      <w:r>
        <w:t xml:space="preserve">. La mention du taux effectif global et le respect des plafonds applicables sont à vérifier avec un conseil.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5A54E" w:sz="18" w:space="4"/>
              <w:bottom w:val="none"/>
              <w:right w:val="none"/>
            </w:tcBorders>
            <w:shd w:fill="F5EFDD" w:val="clear"/>
            <w:tcMar>
              <w:top w:type="dxa" w:w="120"/>
              <w:left w:type="dxa" w:w="180"/>
              <w:bottom w:type="dxa" w:w="120"/>
              <w:right w:type="dxa" w:w="180"/>
            </w:tcMar>
          </w:tcPr>
          <w:p>
            <w:pPr>
              <w:spacing w:line="272"/>
              <w:jc w:val="both"/>
            </w:pPr>
            <w:r>
              <w:rPr>
                <w:b/>
                <w:bCs/>
              </w:rPr>
              <w:t xml:space="preserve">4.3 — Risque de crédit. </w:t>
            </w:r>
            <w:r>
              <w:t xml:space="preserve">Le remboursement dépend de la solvabilité de l'Emprunteur ; le Prêteur supporte un risque de défaut pouvant entraîner une perte. Le présent prêt n'emporte aucune prise de participation ni droit social.</w:t>
            </w:r>
          </w:p>
        </w:tc>
      </w:tr>
    </w:tbl>
    <w:p>
      <w:pPr>
        <w:pStyle w:val="Heading2"/>
        <w:spacing w:after="70" w:before="230"/>
      </w:pPr>
      <w:r>
        <w:rPr>
          <w:b/>
          <w:bCs/>
        </w:rPr>
        <w:t xml:space="preserve">Article 5 — Séquestre des fonds</w:t>
      </w:r>
    </w:p>
    <w:p>
      <w:pPr>
        <w:spacing w:after="110" w:line="276"/>
        <w:jc w:val="both"/>
      </w:pPr>
      <w:r>
        <w:rPr>
          <w:b/>
          <w:bCs/>
        </w:rPr>
        <w:t xml:space="preserve">5.1  </w:t>
      </w:r>
      <w:r>
        <w:t xml:space="preserve">Le Montant est conservé sur le Séquestre. L'Emprunteur ne détient à aucun moment les fonds non libérés.</w:t>
      </w:r>
    </w:p>
    <w:p>
      <w:pPr>
        <w:spacing w:after="110" w:line="276"/>
        <w:jc w:val="both"/>
      </w:pPr>
      <w:r>
        <w:rPr>
          <w:b/>
          <w:bCs/>
        </w:rPr>
        <w:t xml:space="preserve">5.2  </w:t>
      </w:r>
      <w:r>
        <w:t xml:space="preserve">Seules les Tranches correspondant à des Jalons validés sont décaissées, sur le compte </w:t>
      </w:r>
      <w:r>
        <w:rPr>
          <w:b/>
          <w:bCs/>
          <w:color w:val="8A7430"/>
        </w:rPr>
        <w:t xml:space="preserve">[COMPTE DU L'EMPRUNTEUR]</w:t>
      </w:r>
      <w:r>
        <w:t xml:space="preserve">, au nom de l'entreprise.</w:t>
      </w:r>
    </w:p>
    <w:p>
      <w:pPr>
        <w:pStyle w:val="Heading2"/>
        <w:spacing w:after="70" w:before="230"/>
      </w:pPr>
      <w:r>
        <w:rPr>
          <w:b/>
          <w:bCs/>
        </w:rPr>
        <w:t xml:space="preserve">Article 6 — Jalons et calendrier de financement</w:t>
      </w:r>
    </w:p>
    <w:p>
      <w:pPr>
        <w:spacing w:after="120" w:line="276"/>
        <w:jc w:val="both"/>
      </w:pPr>
      <w:r>
        <w:t xml:space="preserve">Le financement est échelonné selon les Jalons ci-dessous ; le détail figure en Annexe 1, qui prévaut en cas d'écart.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700"/>
        <w:gridCol w:w="1500"/>
        <w:gridCol w:w="1426"/>
      </w:tblGrid>
      <w:tr>
        <w:trPr>
          <w:tblHeader/>
        </w:trPr>
        <w:tc>
          <w:tcPr>
            <w:tcW w:type="dxa" w:w="1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33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Description / livrable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14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33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1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33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[À COMPLÉTER]</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14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bl>
    <w:p>
      <w:pPr>
        <w:spacing w:after="110" w:line="276"/>
        <w:jc w:val="both"/>
      </w:pPr>
      <w:r>
        <w:rPr>
          <w:b/>
          <w:bCs/>
        </w:rPr>
        <w:t xml:space="preserve">6.1  </w:t>
      </w:r>
      <w:r>
        <w:t xml:space="preserve">Deux calendriers distincts. Le tableau ci-dessus fixe le calendrier de décaissement au profit de l’Emprunteur, chaque Tranche étant conditionnée à la validation du Jalon correspondant. Il ne se confond pas avec l’Échéancier de versement du Prêteur (Article 3.2 et Annexe 1), qui règle l’alimentation du Séquestre.</w:t>
      </w:r>
    </w:p>
    <w:p>
      <w:pPr>
        <w:spacing w:after="110" w:line="276"/>
        <w:jc w:val="both"/>
      </w:pPr>
      <w:r>
        <w:rPr>
          <w:b/>
          <w:bCs/>
        </w:rPr>
        <w:t xml:space="preserve">6.2  </w:t>
      </w:r>
      <w:r>
        <w:t xml:space="preserve">Subordination aux fonds encaissés. Aucune Tranche ne peut être décaissée au-delà des sommes effectivement encaissées sur le Séquestre à la date considérée, déduction faite des Tranches déjà décaissées. Lorsqu’un Jalon est validé alors que le Séquestre n’est pas suffisamment approvisionné, le décaissement est limité au solde disponible ; le reliquat est versé sans nouvelle validation dès l’encaissement des échéances nécessaires.</w:t>
      </w:r>
    </w:p>
    <w:p>
      <w:pPr>
        <w:spacing w:after="110" w:line="276"/>
        <w:jc w:val="both"/>
      </w:pPr>
      <w:r>
        <w:rPr>
          <w:b/>
          <w:bCs/>
        </w:rPr>
        <w:t xml:space="preserve">6.3  </w:t>
      </w:r>
      <w:r>
        <w:t xml:space="preserve">Cohérence des échéances. Les Échéances de Jalons ci-dessus tiennent compte de l’Échéancier de versement : aucune n’est antérieure à la date à laquelle le cumul versé atteint la Tranche correspondante. En cas de retard de versement, les Échéances de Jalons sont reportées d’autant, sans que ce report constitue un manquement de l’Emprunteur.</w:t>
      </w:r>
    </w:p>
    <w:p>
      <w:pPr>
        <w:pStyle w:val="Heading2"/>
        <w:spacing w:after="70" w:before="230"/>
      </w:pPr>
      <w:r>
        <w:rPr>
          <w:b/>
          <w:bCs/>
        </w:rPr>
        <w:t xml:space="preserve">Article 7 — Conditions de décaissement</w:t>
      </w:r>
    </w:p>
    <w:p>
      <w:pPr>
        <w:spacing w:after="110" w:line="276"/>
        <w:jc w:val="both"/>
      </w:pPr>
      <w:r>
        <w:rPr>
          <w:b/>
          <w:bCs/>
        </w:rPr>
        <w:t xml:space="preserve">7.1  </w:t>
      </w:r>
      <w:r>
        <w:t xml:space="preserve">Pour chaque Jalon, l'emprunteur soumet les Preuves via la Plateforme.</w:t>
      </w:r>
    </w:p>
    <w:p>
      <w:pPr>
        <w:spacing w:after="110" w:line="276"/>
        <w:jc w:val="both"/>
      </w:pPr>
      <w:r>
        <w:rPr>
          <w:b/>
          <w:bCs/>
        </w:rPr>
        <w:t xml:space="preserve">7.2  </w:t>
      </w:r>
      <w:r>
        <w:t xml:space="preserve">Le décaissement est subordonné à : (i) Preuves conformes ; (ii) validation du Jalon sous </w:t>
      </w:r>
      <w:r>
        <w:rPr>
          <w:b/>
          <w:bCs/>
          <w:color w:val="8A7430"/>
        </w:rPr>
        <w:t xml:space="preserve">[X]</w:t>
      </w:r>
      <w:r>
        <w:t xml:space="preserve"> jours ouvrés ; (iii) absence d'alerte de conformité (KYC/AML).</w:t>
      </w:r>
    </w:p>
    <w:p>
      <w:pPr>
        <w:spacing w:after="110" w:line="276"/>
        <w:jc w:val="both"/>
      </w:pPr>
      <w:r>
        <w:rPr>
          <w:b/>
          <w:bCs/>
        </w:rPr>
        <w:t xml:space="preserve">7.3  </w:t>
      </w:r>
      <w:r>
        <w:t xml:space="preserve">Le décaissement validé est exécuté par l'Opérateur de paiement, une seule fois par Jalon (idempotence). Aucun décaissement pour un Jalon non atteint.</w:t>
      </w:r>
    </w:p>
    <w:p>
      <w:pPr>
        <w:pStyle w:val="Heading2"/>
        <w:spacing w:after="70" w:before="230"/>
      </w:pPr>
      <w:r>
        <w:rPr>
          <w:b/>
          <w:bCs/>
        </w:rPr>
        <w:t xml:space="preserve">Article 8 — Échéancier de remboursement</w:t>
      </w:r>
    </w:p>
    <w:p>
      <w:pPr>
        <w:spacing w:after="110" w:line="276"/>
        <w:jc w:val="both"/>
      </w:pPr>
      <w:r>
        <w:rPr>
          <w:b/>
          <w:bCs/>
        </w:rPr>
        <w:t xml:space="preserve">8.1  </w:t>
      </w:r>
      <w:r>
        <w:t xml:space="preserve">Durée : </w:t>
      </w:r>
      <w:r>
        <w:rPr>
          <w:b/>
          <w:bCs/>
          <w:color w:val="8A7430"/>
        </w:rPr>
        <w:t xml:space="preserve">[DURÉE]</w:t>
      </w:r>
      <w:r>
        <w:t xml:space="preserve"> ; modalité : </w:t>
      </w:r>
      <w:r>
        <w:rPr>
          <w:b/>
          <w:bCs/>
          <w:color w:val="8A7430"/>
        </w:rPr>
        <w:t xml:space="preserve">[AMORTISSABLE / IN FINE / DIFFÉRÉ]</w:t>
      </w:r>
      <w:r>
        <w:t xml:space="preserve">.</w:t>
      </w:r>
    </w:p>
    <w:p>
      <w:pPr>
        <w:spacing w:after="110" w:line="276"/>
        <w:jc w:val="both"/>
      </w:pPr>
      <w:r>
        <w:rPr>
          <w:b/>
          <w:bCs/>
        </w:rPr>
        <w:t xml:space="preserve">8.2  </w:t>
      </w:r>
      <w:r>
        <w:t xml:space="preserve">L'Emprunteur rembourse selon l'échéancier en Annexe 1 (périodicité </w:t>
      </w:r>
      <w:r>
        <w:rPr>
          <w:b/>
          <w:bCs/>
          <w:color w:val="8A7430"/>
        </w:rPr>
        <w:t xml:space="preserve">[MENSUELLE / …]</w:t>
      </w:r>
      <w:r>
        <w:t xml:space="preserve">, capital + intérêts).</w:t>
      </w:r>
    </w:p>
    <w:p>
      <w:pPr>
        <w:spacing w:after="110" w:line="276"/>
        <w:jc w:val="both"/>
      </w:pPr>
      <w:r>
        <w:rPr>
          <w:b/>
          <w:bCs/>
        </w:rPr>
        <w:t xml:space="preserve">8.3  </w:t>
      </w:r>
      <w:r>
        <w:t xml:space="preserve">Remboursement anticipé : </w:t>
      </w:r>
      <w:r>
        <w:rPr>
          <w:b/>
          <w:bCs/>
          <w:color w:val="8A7430"/>
        </w:rPr>
        <w:t xml:space="preserve">[AUTORISÉ AVEC / SANS INDEMNITÉ]</w:t>
      </w:r>
      <w:r>
        <w:t xml:space="preserve">.</w:t>
      </w:r>
    </w:p>
    <w:p>
      <w:pPr>
        <w:spacing w:after="110" w:line="276"/>
        <w:jc w:val="both"/>
      </w:pPr>
      <w:r>
        <w:rPr>
          <w:b/>
          <w:bCs/>
        </w:rPr>
        <w:t xml:space="preserve">8.4  </w:t>
      </w:r>
      <w:r>
        <w:rPr>
          <w:b/>
          <w:bCs/>
        </w:rPr>
        <w:t xml:space="preserve">Défaut. </w:t>
      </w:r>
      <w:r>
        <w:t xml:space="preserve">En cas d'impayé non régularisé sous </w:t>
      </w:r>
      <w:r>
        <w:rPr>
          <w:b/>
          <w:bCs/>
          <w:color w:val="8A7430"/>
        </w:rPr>
        <w:t xml:space="preserve">[X]</w:t>
      </w:r>
      <w:r>
        <w:t xml:space="preserve"> jours, déchéance du terme : exigibilité immédiate du solde, majoré d'intérêts de retard au taux </w:t>
      </w:r>
      <w:r>
        <w:rPr>
          <w:b/>
          <w:bCs/>
          <w:color w:val="8A7430"/>
        </w:rPr>
        <w:t xml:space="preserve">[●]</w:t>
      </w:r>
      <w:r>
        <w:t xml:space="preserve">.</w:t>
      </w:r>
    </w:p>
    <w:p>
      <w:pPr>
        <w:spacing w:after="110" w:line="276"/>
        <w:jc w:val="both"/>
      </w:pPr>
      <w:r>
        <w:rPr>
          <w:b/>
          <w:bCs/>
        </w:rPr>
        <w:t xml:space="preserve">8.5  </w:t>
      </w:r>
      <w:r>
        <w:rPr>
          <w:b/>
          <w:bCs/>
        </w:rPr>
        <w:t xml:space="preserve">Sûretés. </w:t>
      </w:r>
      <w:r>
        <w:rPr>
          <w:b/>
          <w:bCs/>
          <w:color w:val="8A7430"/>
        </w:rPr>
        <w:t xml:space="preserve">[CAUTION / GARANTIE / NÉANT]</w:t>
      </w:r>
      <w:r>
        <w:t xml:space="preserve">, décrites en Annexe 1.</w:t>
      </w:r>
    </w:p>
    <w:p>
      <w:pPr>
        <w:pStyle w:val="Heading2"/>
        <w:spacing w:after="70" w:before="230"/>
      </w:pPr>
      <w:r>
        <w:rPr>
          <w:b/>
          <w:bCs/>
        </w:rPr>
        <w:t xml:space="preserve">Article 9 — Remboursement</w:t>
      </w:r>
    </w:p>
    <w:p>
      <w:pPr>
        <w:spacing w:after="110" w:line="276"/>
        <w:jc w:val="both"/>
      </w:pPr>
      <w:r>
        <w:rPr>
          <w:b/>
          <w:bCs/>
        </w:rPr>
        <w:t xml:space="preserve">9.1  </w:t>
      </w:r>
      <w:r>
        <w:t xml:space="preserve">Le remboursement du Principal et des intérêts s'effectue conformément à l'échéancier (Annexe 1), via l'Opérateur de paiement.</w:t>
      </w:r>
    </w:p>
    <w:p>
      <w:pPr>
        <w:spacing w:after="110" w:line="276"/>
        <w:jc w:val="both"/>
      </w:pPr>
      <w:r>
        <w:rPr>
          <w:b/>
          <w:bCs/>
        </w:rPr>
        <w:t xml:space="preserve">9.2  </w:t>
      </w:r>
      <w:r>
        <w:rPr>
          <w:b/>
          <w:bCs/>
        </w:rPr>
        <w:t xml:space="preserve">Tranches non décaissées. </w:t>
      </w:r>
      <w:r>
        <w:t xml:space="preserve">Le Principal pouvant être mis à disposition par jalons, les Tranches non décaissées sont restituées au Prêteur si le Projet est abandonné avant décaissement.</w:t>
      </w:r>
    </w:p>
    <w:p>
      <w:pPr>
        <w:spacing w:after="110" w:line="276"/>
        <w:jc w:val="both"/>
      </w:pPr>
      <w:r>
        <w:rPr>
          <w:b/>
          <w:bCs/>
        </w:rPr>
        <w:t xml:space="preserve">9.3  </w:t>
      </w:r>
      <w:r>
        <w:rPr>
          <w:b/>
          <w:bCs/>
        </w:rPr>
        <w:t xml:space="preserve">Fraude. </w:t>
      </w:r>
      <w:r>
        <w:t xml:space="preserve">En cas de détournement établi, exigibilité immédiate et restitution intégrale, sans préjudice de dommages-intérêts.</w:t>
      </w:r>
    </w:p>
    <w:p>
      <w:pPr>
        <w:pStyle w:val="Heading2"/>
        <w:spacing w:after="70" w:before="230"/>
      </w:pPr>
      <w:r>
        <w:rPr>
          <w:b/>
          <w:bCs/>
        </w:rPr>
        <w:t xml:space="preserve">Article 10 — Obligations de l'emprunteur</w:t>
      </w:r>
    </w:p>
    <w:p>
      <w:pPr>
        <w:pStyle w:val="ListParagraph"/>
        <w:numPr>
          <w:ilvl w:val="0"/>
          <w:numId w:val="2"/>
        </w:numPr>
        <w:spacing w:after="50" w:line="272"/>
        <w:jc w:val="both"/>
      </w:pPr>
      <w:r>
        <w:t xml:space="preserve">Affecter les fonds exclusivement au Projet, sans détournement.</w:t>
      </w:r>
    </w:p>
    <w:p>
      <w:pPr>
        <w:pStyle w:val="ListParagraph"/>
        <w:numPr>
          <w:ilvl w:val="0"/>
          <w:numId w:val="2"/>
        </w:numPr>
        <w:spacing w:after="50" w:line="272"/>
        <w:jc w:val="both"/>
      </w:pPr>
      <w:r>
        <w:t xml:space="preserve">Réaliser les Jalons et fournir des Preuves sincères et vérifiables.</w:t>
      </w:r>
    </w:p>
    <w:p>
      <w:pPr>
        <w:pStyle w:val="ListParagraph"/>
        <w:numPr>
          <w:ilvl w:val="0"/>
          <w:numId w:val="2"/>
        </w:numPr>
        <w:spacing w:after="50" w:line="272"/>
        <w:jc w:val="both"/>
      </w:pPr>
      <w:r>
        <w:t xml:space="preserve">Assurer un reporting régulier via la Plateforme et maintenir ses informations KYC à jour.</w:t>
      </w:r>
    </w:p>
    <w:p>
      <w:pPr>
        <w:pStyle w:val="ListParagraph"/>
        <w:numPr>
          <w:ilvl w:val="0"/>
          <w:numId w:val="2"/>
        </w:numPr>
        <w:spacing w:after="50" w:line="272"/>
        <w:jc w:val="both"/>
      </w:pPr>
      <w:r>
        <w:t xml:space="preserve">Rembourser le Principal et les intérêts aux échéances convenues.</w:t>
      </w:r>
    </w:p>
    <w:p>
      <w:pPr>
        <w:pStyle w:val="Heading2"/>
        <w:spacing w:after="70" w:before="230"/>
      </w:pPr>
      <w:r>
        <w:rPr>
          <w:b/>
          <w:bCs/>
        </w:rPr>
        <w:t xml:space="preserve">Article 11 — Obligations de le prêteur</w:t>
      </w:r>
    </w:p>
    <w:p>
      <w:pPr>
        <w:pStyle w:val="ListParagraph"/>
        <w:numPr>
          <w:ilvl w:val="0"/>
          <w:numId w:val="2"/>
        </w:numPr>
        <w:spacing w:after="50" w:line="272"/>
        <w:jc w:val="both"/>
      </w:pPr>
      <w:r>
        <w:t xml:space="preserve">Verser le Montant sur le Séquestre selon l'Article 3.</w:t>
      </w:r>
    </w:p>
    <w:p>
      <w:pPr>
        <w:pStyle w:val="ListParagraph"/>
        <w:numPr>
          <w:ilvl w:val="0"/>
          <w:numId w:val="2"/>
        </w:numPr>
        <w:spacing w:after="50" w:line="272"/>
        <w:jc w:val="both"/>
      </w:pPr>
      <w:r>
        <w:t xml:space="preserve">Procéder aux validations de Jalons dans les délais et satisfaire à ses obligations KYC/AML.</w:t>
      </w:r>
    </w:p>
    <w:p>
      <w:pPr>
        <w:pStyle w:val="ListParagraph"/>
        <w:numPr>
          <w:ilvl w:val="0"/>
          <w:numId w:val="2"/>
        </w:numPr>
        <w:spacing w:after="50" w:line="272"/>
        <w:jc w:val="both"/>
      </w:pPr>
      <w:r>
        <w:t xml:space="preserve">Mettre le Principal à disposition selon l'Article 3 et reconnaître le risque de crédit.</w:t>
      </w:r>
    </w:p>
    <w:p>
      <w:pPr>
        <w:pStyle w:val="Heading2"/>
        <w:spacing w:after="70" w:before="230"/>
      </w:pPr>
      <w:r>
        <w:rPr>
          <w:b/>
          <w:bCs/>
        </w:rPr>
        <w:t xml:space="preserve">Article 12 — Déclarations et garanties</w:t>
      </w:r>
    </w:p>
    <w:p>
      <w:pPr>
        <w:spacing w:after="110" w:line="276"/>
        <w:jc w:val="both"/>
      </w:pPr>
      <w:r>
        <w:rPr>
          <w:b/>
          <w:bCs/>
        </w:rPr>
        <w:t xml:space="preserve">  </w:t>
      </w:r>
      <w:r>
        <w:rPr>
          <w:b/>
          <w:bCs/>
        </w:rPr>
        <w:t xml:space="preserve">L'Emprunteur </w:t>
      </w:r>
      <w:r>
        <w:t xml:space="preserve">déclare que le Projet est réel, que les informations sont exactes et qu'il dispose des autorisations nécessaires. </w:t>
      </w:r>
      <w:r>
        <w:rPr>
          <w:b/>
          <w:bCs/>
        </w:rPr>
        <w:t xml:space="preserve">Le Prêteur </w:t>
      </w:r>
      <w:r>
        <w:t xml:space="preserve">déclare que les fonds sont d'origine licite et qu'il agit en son nom, sauf mandat déclaré. Chaque Partie déclare avoir la capacité de contracter.</w:t>
      </w:r>
    </w:p>
    <w:p>
      <w:pPr>
        <w:pStyle w:val="Heading2"/>
        <w:spacing w:after="70" w:before="230"/>
      </w:pPr>
      <w:r>
        <w:rPr>
          <w:b/>
          <w:bCs/>
        </w:rPr>
        <w:t xml:space="preserve">Article 13 — Conformité (KYC / AML / LCB-FT)</w:t>
      </w:r>
    </w:p>
    <w:p>
      <w:pPr>
        <w:spacing w:after="110" w:line="276"/>
        <w:jc w:val="both"/>
      </w:pPr>
      <w:r>
        <w:rPr>
          <w:b/>
          <w:bCs/>
        </w:rPr>
        <w:t xml:space="preserve">  </w:t>
      </w:r>
      <w:r>
        <w:t xml:space="preserve">La présente est subordonnée à la vérification d'identité des deux Parties et à l'absence d'alerte de criblage AML. La Plateforme et l'Opérateur de paiement sont tenus à des obligations de vigilance et, le cas échéant, de déclaration de soupçon auprès de l'autorité compétente (CENTIF), à caractère confidentiel.</w:t>
      </w:r>
    </w:p>
    <w:p>
      <w:pPr>
        <w:pStyle w:val="Heading2"/>
        <w:spacing w:after="70" w:before="230"/>
      </w:pPr>
      <w:r>
        <w:rPr>
          <w:b/>
          <w:bCs/>
        </w:rPr>
        <w:t xml:space="preserve">Article 14 — Rôle de la Plateforme et de l'Opérateur de paiement</w:t>
      </w:r>
    </w:p>
    <w:p>
      <w:pPr>
        <w:spacing w:after="110" w:line="276"/>
        <w:jc w:val="both"/>
      </w:pPr>
      <w:r>
        <w:rPr>
          <w:b/>
          <w:bCs/>
        </w:rPr>
        <w:t xml:space="preserve">  </w:t>
      </w:r>
      <w:r>
        <w:t xml:space="preserve">La Plateforme intervient comme tiers de mise en relation et de vérification ; elle n'est pas partie aux fonds et n'assume pas la bonne fin du Projet. L'Opérateur de paiement assure, en qualité d'agréé, l'encaissement, le cantonnement et le décaissement. L'usage des services est soumis à leurs conditions générales respectives.</w:t>
      </w:r>
    </w:p>
    <w:p>
      <w:pPr>
        <w:pStyle w:val="Heading2"/>
        <w:spacing w:after="70" w:before="230"/>
      </w:pPr>
      <w:r>
        <w:rPr>
          <w:b/>
          <w:bCs/>
        </w:rPr>
        <w:t xml:space="preserve">Article 15 — Défaillance, suspension et résiliation</w:t>
      </w:r>
    </w:p>
    <w:p>
      <w:pPr>
        <w:spacing w:after="110" w:line="276"/>
        <w:jc w:val="both"/>
      </w:pPr>
      <w:r>
        <w:rPr>
          <w:b/>
          <w:bCs/>
        </w:rPr>
        <w:t xml:space="preserve">  </w:t>
      </w:r>
      <w:r>
        <w:t xml:space="preserve">En cas de manquement non réparé sous </w:t>
      </w:r>
      <w:r>
        <w:rPr>
          <w:b/>
          <w:bCs/>
          <w:color w:val="8A7430"/>
        </w:rPr>
        <w:t xml:space="preserve">[X]</w:t>
      </w:r>
      <w:r>
        <w:t xml:space="preserve"> jours après mise en demeure, l'autre Partie peut suspendre l'exécution ou résilier de plein droit. La résiliation entraîne la restitution des Tranches non décaissées selon l'article de remboursement, sans préjudice des recours pour fonds détournés.</w:t>
      </w:r>
    </w:p>
    <w:p>
      <w:pPr>
        <w:pStyle w:val="Heading2"/>
        <w:spacing w:after="70" w:before="230"/>
      </w:pPr>
      <w:r>
        <w:rPr>
          <w:b/>
          <w:bCs/>
        </w:rPr>
        <w:t xml:space="preserve">Article 16 — Force majeure</w:t>
      </w:r>
    </w:p>
    <w:p>
      <w:pPr>
        <w:spacing w:after="120" w:line="276"/>
        <w:jc w:val="both"/>
      </w:pPr>
      <w:r>
        <w:t xml:space="preserve">Aucune Partie n'est responsable d'un manquement résultant d'un cas de force majeure. Au-delà de </w:t>
      </w:r>
      <w:r>
        <w:rPr>
          <w:b/>
          <w:bCs/>
          <w:color w:val="8A7430"/>
        </w:rPr>
        <w:t xml:space="preserve">[X]</w:t>
      </w:r>
      <w:r>
        <w:t xml:space="preserve"> jours, les Parties peuvent résilier, le solde séquestré étant restitué à le prêteur.</w:t>
      </w:r>
    </w:p>
    <w:p>
      <w:pPr>
        <w:pStyle w:val="Heading2"/>
        <w:spacing w:after="70" w:before="230"/>
      </w:pPr>
      <w:r>
        <w:rPr>
          <w:b/>
          <w:bCs/>
        </w:rPr>
        <w:t xml:space="preserve">Article 17 — Données personnelles et confidentialité</w:t>
      </w:r>
    </w:p>
    <w:p>
      <w:pPr>
        <w:spacing w:after="120" w:line="276"/>
        <w:jc w:val="both"/>
      </w:pPr>
      <w:r>
        <w:t xml:space="preserve">Les Parties traitent les données conformément à la réglementation applicable (RGPD le cas échéant) et préservent la confidentialité, sous réserve des obligations légales de conservation et de déclaration.</w:t>
      </w:r>
    </w:p>
    <w:p>
      <w:pPr>
        <w:pStyle w:val="Heading2"/>
        <w:spacing w:after="70" w:before="230"/>
      </w:pPr>
      <w:r>
        <w:rPr>
          <w:b/>
          <w:bCs/>
        </w:rPr>
        <w:t xml:space="preserve">Article 18 — Droit applicable et règlement des litiges</w:t>
      </w:r>
    </w:p>
    <w:p>
      <w:pPr>
        <w:spacing w:after="110" w:line="276"/>
        <w:jc w:val="both"/>
      </w:pPr>
      <w:r>
        <w:rPr>
          <w:b/>
          <w:bCs/>
        </w:rPr>
        <w:t xml:space="preserve">  </w:t>
      </w:r>
      <w:r>
        <w:t xml:space="preserve">La présente est régie par le droit </w:t>
      </w:r>
      <w:r>
        <w:rPr>
          <w:b/>
          <w:bCs/>
          <w:color w:val="8A7430"/>
        </w:rPr>
        <w:t xml:space="preserve">[SÉNÉGALAIS / OHADA]</w:t>
      </w:r>
      <w:r>
        <w:t xml:space="preserve">. Tout différend fera l'objet d'une tentative de règlement amiable ; à défaut sous </w:t>
      </w:r>
      <w:r>
        <w:rPr>
          <w:b/>
          <w:bCs/>
          <w:color w:val="8A7430"/>
        </w:rPr>
        <w:t xml:space="preserve">[X]</w:t>
      </w:r>
      <w:r>
        <w:t xml:space="preserve"> jours, il sera porté devant </w:t>
      </w:r>
      <w:r>
        <w:rPr>
          <w:b/>
          <w:bCs/>
          <w:color w:val="8A7430"/>
        </w:rPr>
        <w:t xml:space="preserve">[JURIDICTION / ARBITRAGE]</w:t>
      </w:r>
      <w:r>
        <w:t xml:space="preserve">.</w:t>
      </w:r>
    </w:p>
    <w:p>
      <w:pPr>
        <w:pStyle w:val="Heading2"/>
        <w:spacing w:after="70" w:before="230"/>
      </w:pPr>
      <w:r>
        <w:rPr>
          <w:b/>
          <w:bCs/>
        </w:rPr>
        <w:t xml:space="preserve">Article 19 — Dispositions diverses</w:t>
      </w:r>
    </w:p>
    <w:p>
      <w:pPr>
        <w:pStyle w:val="ListParagraph"/>
        <w:numPr>
          <w:ilvl w:val="0"/>
          <w:numId w:val="2"/>
        </w:numPr>
        <w:spacing w:after="50" w:line="272"/>
        <w:jc w:val="both"/>
      </w:pPr>
      <w:r>
        <w:t xml:space="preserve">La présente, avec ses annexes, exprime l'intégralité de l'accord.</w:t>
      </w:r>
    </w:p>
    <w:p>
      <w:pPr>
        <w:pStyle w:val="ListParagraph"/>
        <w:numPr>
          <w:ilvl w:val="0"/>
          <w:numId w:val="2"/>
        </w:numPr>
        <w:spacing w:after="50" w:line="272"/>
        <w:jc w:val="both"/>
      </w:pPr>
      <w:r>
        <w:t xml:space="preserve">Toute modification fait l'objet d'un avenant écrit signé.</w:t>
      </w:r>
    </w:p>
    <w:p>
      <w:pPr>
        <w:pStyle w:val="ListParagraph"/>
        <w:numPr>
          <w:ilvl w:val="0"/>
          <w:numId w:val="2"/>
        </w:numPr>
        <w:spacing w:after="50" w:line="272"/>
        <w:jc w:val="both"/>
      </w:pPr>
      <w:r>
        <w:t xml:space="preserve">La nullité d'une clause n'affecte pas les autres ; les Parties acceptent la signature électronique via la Plateforme.</w:t>
      </w:r>
    </w:p>
    <w:p>
      <w:pPr>
        <w:pageBreakBefore/>
        <w:spacing w:after="80"/>
      </w:pPr>
      <w:r>
        <w:rPr>
          <w:b/>
          <w:bCs/>
          <w:color w:val="1A1A1A"/>
          <w:sz w:val="26"/>
          <w:szCs w:val="26"/>
        </w:rPr>
        <w:t xml:space="preserve">Signatures</w:t>
      </w:r>
    </w:p>
    <w:p>
      <w:pPr>
        <w:spacing w:after="120" w:line="276"/>
        <w:jc w:val="both"/>
      </w:pPr>
      <w:r>
        <w:t xml:space="preserve">Fait à </w:t>
      </w:r>
      <w:r>
        <w:rPr>
          <w:b/>
          <w:bCs/>
          <w:color w:val="8A7430"/>
        </w:rPr>
        <w:t xml:space="preserve">[LIEU]</w:t>
      </w:r>
      <w:r>
        <w:t xml:space="preserve">, le </w:t>
      </w:r>
      <w:r>
        <w:rPr>
          <w:b/>
          <w:bCs/>
          <w:color w:val="8A7430"/>
        </w:rPr>
        <w:t xml:space="preserve">[DATE]</w:t>
      </w:r>
      <w:r>
        <w:t xml:space="preserve">, en deux exemplaires (ou par voie électronique).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 Prêteur</w:t>
            </w:r>
          </w:p>
        </w:tc>
        <w:tc>
          <w:tcPr>
            <w:tcW w:type="dxa" w:w="4513"/>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L'Emprunteur</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Nom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Nom / Raison sociale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Qualité :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Représentant :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Date :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 : …………………………………</w:t>
            </w:r>
          </w:p>
        </w:tc>
      </w:tr>
      <w:tr>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Signature :</w:t>
            </w:r>
          </w:p>
        </w:tc>
        <w:tc>
          <w:tcPr>
            <w:tcW w:type="dxa" w:w="4513"/>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Signature :</w:t>
            </w:r>
          </w:p>
        </w:tc>
      </w:tr>
      <w:tr>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 </w:t>
            </w:r>
          </w:p>
        </w:tc>
        <w:tc>
          <w:tcPr>
            <w:tcW w:type="dxa" w:w="4513"/>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 </w:t>
            </w:r>
          </w:p>
        </w:tc>
      </w:tr>
    </w:tbl>
    <w:p>
      <w:pPr>
        <w:pStyle w:val="Heading1"/>
        <w:pageBreakBefore/>
      </w:pPr>
      <w:r>
        <w:t xml:space="preserve">Annexe 1 — Échéancier des jalons et modalités spécifiques</w:t>
      </w:r>
    </w:p>
    <w:p>
      <w:pPr>
        <w:pBdr>
          <w:bottom w:val="single" w:color="C5A54E" w:sz="12" w:space="1"/>
        </w:pBdr>
        <w:spacing w:after="13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1500"/>
        <w:gridCol w:w="2026"/>
      </w:tblGrid>
      <w:tr>
        <w:trPr>
          <w:tblHeader/>
        </w:trPr>
        <w:tc>
          <w:tcPr>
            <w:tcW w:type="dxa" w:w="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Jalon</w:t>
            </w:r>
          </w:p>
        </w:tc>
        <w:tc>
          <w:tcPr>
            <w:tcW w:type="dxa" w:w="29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Livrable / critère</w:t>
            </w:r>
          </w:p>
        </w:tc>
        <w:tc>
          <w:tcPr>
            <w:tcW w:type="dxa" w:w="17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Tranche</w:t>
            </w:r>
          </w:p>
        </w:tc>
        <w:tc>
          <w:tcPr>
            <w:tcW w:type="dxa" w:w="15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Échéance</w:t>
            </w:r>
          </w:p>
        </w:tc>
        <w:tc>
          <w:tcPr>
            <w:tcW w:type="dxa" w:w="20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Preuves</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J1</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J2</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rPr>
              <w:t xml:space="preserve">J3</w:t>
            </w:r>
          </w:p>
        </w:tc>
        <w:tc>
          <w:tcPr>
            <w:tcW w:type="dxa" w:w="29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5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[DATE]</w:t>
            </w:r>
          </w:p>
        </w:tc>
        <w:tc>
          <w:tcPr>
            <w:tcW w:type="dxa" w:w="20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val="false"/>
                <w:bCs w:val="false"/>
              </w:rPr>
              <w:t xml:space="preserve">[…]</w:t>
            </w:r>
          </w:p>
        </w:tc>
      </w:tr>
      <w:tr>
        <w:tc>
          <w:tcPr>
            <w:tcW w:type="dxa" w:w="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bCs/>
              </w:rPr>
              <w:t xml:space="preserve">Total</w:t>
            </w:r>
          </w:p>
        </w:tc>
        <w:tc>
          <w:tcPr>
            <w:tcW w:type="dxa" w:w="29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17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[MONTANT]</w:t>
            </w:r>
          </w:p>
        </w:tc>
        <w:tc>
          <w:tcPr>
            <w:tcW w:type="dxa" w:w="1500"/>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c>
          <w:tcPr>
            <w:tcW w:type="dxa" w:w="2026"/>
            <w:tcBorders>
              <w:top w:val="single" w:color="DDD9CC" w:sz="4"/>
              <w:left w:val="single" w:color="DDD9CC" w:sz="4"/>
              <w:bottom w:val="single" w:color="DDD9CC" w:sz="4"/>
              <w:right w:val="single" w:color="DDD9CC" w:sz="4"/>
            </w:tcBorders>
            <w:shd w:fill="F1EFE8" w:val="clear"/>
            <w:tcMar>
              <w:top w:type="dxa" w:w="70"/>
              <w:left w:type="dxa" w:w="110"/>
              <w:bottom w:type="dxa" w:w="70"/>
              <w:right w:type="dxa" w:w="110"/>
            </w:tcMar>
            <w:vAlign w:val="center"/>
          </w:tcPr>
          <w:p>
            <w:pPr>
              <w:spacing w:after="14" w:line="250"/>
              <w:jc w:val="left"/>
            </w:pPr>
            <w:r>
              <w:rPr>
                <w:b w:val="false"/>
                <w:bCs w:val="false"/>
              </w:rPr>
              <w:t xml:space="preserve">—</w:t>
            </w:r>
          </w:p>
        </w:tc>
      </w:tr>
    </w:tbl>
    <w:p>
      <w:pPr>
        <w:pStyle w:val="Heading2"/>
      </w:pPr>
      <w:r>
        <w:t xml:space="preserve">Échéancier de versement du Prêteur — alimentation du Séquestre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100"/>
        <w:gridCol w:w="2100"/>
        <w:gridCol w:w="1926"/>
      </w:tblGrid>
      <w:tr>
        <w:trPr>
          <w:tblHeader/>
        </w:trPr>
        <w:tc>
          <w:tcPr>
            <w:tcW w:type="dxa" w:w="8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Éch.</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Date d’exigibilité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Montant appelé</w:t>
            </w:r>
          </w:p>
        </w:tc>
        <w:tc>
          <w:tcPr>
            <w:tcW w:type="dxa" w:w="2100"/>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Cumul versé</w:t>
            </w:r>
          </w:p>
        </w:tc>
        <w:tc>
          <w:tcPr>
            <w:tcW w:type="dxa" w:w="1926"/>
            <w:tcBorders>
              <w:top w:val="single" w:color="DDD9CC" w:sz="4"/>
              <w:left w:val="single" w:color="DDD9CC" w:sz="4"/>
              <w:bottom w:val="single" w:color="DDD9CC" w:sz="4"/>
              <w:right w:val="single" w:color="DDD9CC" w:sz="4"/>
            </w:tcBorders>
            <w:shd w:fill="1A1A1A" w:val="clear"/>
            <w:tcMar>
              <w:top w:type="dxa" w:w="70"/>
              <w:left w:type="dxa" w:w="110"/>
              <w:bottom w:type="dxa" w:w="70"/>
              <w:right w:type="dxa" w:w="110"/>
            </w:tcMar>
            <w:vAlign w:val="center"/>
          </w:tcPr>
          <w:p>
            <w:pPr>
              <w:spacing w:after="14" w:line="250"/>
              <w:jc w:val="left"/>
            </w:pPr>
            <w:r>
              <w:rPr>
                <w:b/>
                <w:bCs/>
                <w:color w:val="FFFFFF"/>
              </w:rPr>
              <w:t xml:space="preserve">Moyen de paiement</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[N°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[DATE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[MONTANT ÉCH.]</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[CUMUL ÉCH.]</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[MOYEN ÉCH.]</w:t>
            </w:r>
          </w:p>
        </w:tc>
      </w:tr>
      <w:tr>
        <w:tc>
          <w:tcPr>
            <w:tcW w:type="dxa" w:w="8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Total</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rPr>
                <w:b/>
                <w:bCs/>
                <w:color w:val="8A7430"/>
              </w:rPr>
              <w:t xml:space="preserve">[TOTAL VERSEMENTS]</w:t>
            </w:r>
          </w:p>
        </w:tc>
        <w:tc>
          <w:tcPr>
            <w:tcW w:type="dxa" w:w="2100"/>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c>
          <w:tcPr>
            <w:tcW w:type="dxa" w:w="1926"/>
            <w:tcBorders>
              <w:top w:val="single" w:color="DDD9CC" w:sz="4"/>
              <w:left w:val="single" w:color="DDD9CC" w:sz="4"/>
              <w:bottom w:val="single" w:color="DDD9CC" w:sz="4"/>
              <w:right w:val="single" w:color="DDD9CC" w:sz="4"/>
            </w:tcBorders>
            <w:shd w:fill="FFFFFF" w:val="clear"/>
            <w:tcMar>
              <w:top w:type="dxa" w:w="70"/>
              <w:left w:type="dxa" w:w="110"/>
              <w:bottom w:type="dxa" w:w="70"/>
              <w:right w:type="dxa" w:w="110"/>
            </w:tcMar>
            <w:vAlign w:val="center"/>
          </w:tcPr>
          <w:p>
            <w:pPr>
              <w:spacing w:after="14" w:line="250"/>
              <w:jc w:val="left"/>
            </w:pPr>
            <w:r>
              <w:t xml:space="preserve">—</w:t>
            </w:r>
          </w:p>
        </w:tc>
      </w:tr>
    </w:tbl>
    <w:p>
      <w:pPr>
        <w:spacing w:after="110" w:line="276"/>
        <w:jc w:val="both"/>
      </w:pPr>
      <w:r>
        <w:rPr>
          <w:b/>
          <w:bCs/>
          <w:color w:val="8A7430"/>
        </w:rPr>
        <w:t xml:space="preserve">[NOTE VERSEMENTS]</w:t>
      </w:r>
    </w:p>
    <w:p>
      <w:pPr>
        <w:spacing w:after="80"/>
      </w:pPr>
      <w:r>
        <w:t xml:space="preserve"/>
      </w:r>
    </w:p>
    <w:p>
      <w:pPr>
        <w:spacing w:after="80" w:line="300"/>
      </w:pPr>
      <w:r>
        <w:rPr>
          <w:b/>
          <w:bCs/>
        </w:rPr>
        <w:t xml:space="preserve">Échéancier de remboursement (échéance, capital, intérêts, solde restant dû) : </w:t>
      </w:r>
      <w:r>
        <w:rPr>
          <w:color w:val="5F5E5A"/>
        </w:rPr>
        <w:t xml:space="preserve">……………………………………………………………</w:t>
      </w:r>
    </w:p>
    <w:p>
      <w:pPr>
        <w:spacing w:after="80" w:line="300"/>
      </w:pPr>
      <w:r>
        <w:rPr>
          <w:b/>
          <w:bCs/>
        </w:rPr>
        <w:t xml:space="preserve">Sûretés / garanties éventuelles : </w:t>
      </w:r>
      <w:r>
        <w:rPr>
          <w:color w:val="5F5E5A"/>
        </w:rPr>
        <w:t xml:space="preserve">……………………………………………………………</w:t>
      </w:r>
    </w:p>
    <w:p>
      <w:pPr>
        <w:spacing w:after="80" w:line="300"/>
      </w:pPr>
      <w:r>
        <w:rPr>
          <w:b/>
          <w:bCs/>
        </w:rPr>
        <w:t xml:space="preserve">Délais : validation (X), régularisation défaut, inactivité (90 j) : </w:t>
      </w:r>
      <w:r>
        <w:rPr>
          <w:color w:val="5F5E5A"/>
        </w:rPr>
        <w:t xml:space="preserve">……………………………………………………………</w:t>
      </w:r>
    </w:p>
    <w:p>
      <w:pPr>
        <w:pStyle w:val="Heading1"/>
      </w:pPr>
      <w:r>
        <w:t xml:space="preserve">Annexe 2 — Description du Projet</w:t>
      </w:r>
    </w:p>
    <w:p>
      <w:pPr>
        <w:pBdr>
          <w:bottom w:val="single" w:color="C5A54E" w:sz="12" w:space="1"/>
        </w:pBdr>
        <w:spacing w:after="130" w:before="20"/>
      </w:pPr>
      <w:r>
        <w:t xml:space="preserve"/>
      </w:r>
    </w:p>
    <w:p>
      <w:pPr>
        <w:spacing w:after="80" w:line="300"/>
      </w:pPr>
      <w:r>
        <w:rPr>
          <w:b/>
          <w:bCs/>
        </w:rPr>
        <w:t xml:space="preserve">Intitulé, secteur et localisation du Projet : </w:t>
      </w:r>
      <w:r>
        <w:rPr>
          <w:color w:val="5F5E5A"/>
        </w:rPr>
        <w:t xml:space="preserve">……………………………………………………………</w:t>
      </w:r>
    </w:p>
    <w:p>
      <w:pPr>
        <w:spacing w:after="80" w:line="300"/>
      </w:pPr>
      <w:r>
        <w:rPr>
          <w:b/>
          <w:bCs/>
        </w:rPr>
        <w:t xml:space="preserve">Objet et finalité des fonds : </w:t>
      </w:r>
      <w:r>
        <w:rPr>
          <w:color w:val="5F5E5A"/>
        </w:rPr>
        <w:t xml:space="preserve">……………………………………………………………</w:t>
      </w:r>
    </w:p>
    <w:p>
      <w:pPr>
        <w:spacing w:after="80" w:line="300"/>
      </w:pPr>
      <w:r>
        <w:rPr>
          <w:b/>
          <w:bCs/>
        </w:rPr>
        <w:t xml:space="preserve">Niveau de vérification (KYC l'emprunteur, statut du Projet) : </w:t>
      </w:r>
      <w:r>
        <w:rPr>
          <w:color w:val="5F5E5A"/>
        </w:rPr>
        <w:t xml:space="preserve">……………………………………………………………</w:t>
      </w:r>
    </w:p>
    <w:p>
      <w:pPr>
        <w:spacing w:after="80" w:line="300"/>
      </w:pPr>
      <w:r>
        <w:rPr>
          <w:b/>
          <w:bCs/>
        </w:rPr>
        <w:t xml:space="preserve">Facteurs de risque principaux : </w:t>
      </w:r>
      <w:r>
        <w:rPr>
          <w:color w:val="5F5E5A"/>
        </w:rPr>
        <w:t xml:space="preserve">……………………………………………………………</w:t>
      </w:r>
    </w:p>
    <w:p>
      <w:pPr>
        <w:spacing w:before="200"/>
      </w:pPr>
      <w:r>
        <w:rPr>
          <w:i/>
          <w:iCs/>
          <w:color w:val="5F5E5A"/>
          <w:sz w:val="18"/>
          <w:szCs w:val="18"/>
        </w:rPr>
        <w:t xml:space="preserve">GlobalAfrica+ — Convention d'investissement (Type : Prêt, modèle-type). À faire valider par un conseil juridique avant usage.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r>
      <w:rPr>
        <w:color w:val="5F5E5A"/>
        <w:sz w:val="14"/>
        <w:szCs w:val="14"/>
      </w:rPr>
      <w:t xml:space="preserve">  —  paraphes : ……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4E" w:sz="6" w:space="6"/>
      </w:pBdr>
      <w:tabs>
        <w:tab w:val="right" w:pos="9026"/>
      </w:tabs>
    </w:pPr>
    <w:r>
      <w:rPr>
        <w:b/>
        <w:bCs/>
        <w:color w:val="1A1A1A"/>
        <w:sz w:val="16"/>
        <w:szCs w:val="16"/>
      </w:rPr>
      <w:t xml:space="preserve">GlobalAfrica+</w:t>
    </w:r>
    <w:r>
      <w:rPr>
        <w:color w:val="5F5E5A"/>
        <w:sz w:val="16"/>
        <w:szCs w:val="16"/>
      </w:rPr>
      <w:t xml:space="preserve">	Convention — Prêt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A1A1A"/>
      <w:sz w:val="28"/>
      <w:szCs w:val="28"/>
    </w:rPr>
  </w:style>
  <w:style w:type="paragraph" w:styleId="Heading2">
    <w:name w:val="Heading 2"/>
    <w:basedOn w:val="Normal"/>
    <w:next w:val="Normal"/>
    <w:qFormat/>
    <w:pPr>
      <w:spacing w:after="70" w:before="22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d'investissement (Type : Prêt) — GlobalAfrica+</dc:title>
  <dc:creator>GlobalAfrica+</dc:creator>
  <cp:lastModifiedBy>Un-named</cp:lastModifiedBy>
  <cp:revision>1</cp:revision>
  <dcterms:created xsi:type="dcterms:W3CDTF">2026-06-26T16:28:57.096Z</dcterms:created>
  <dcterms:modified xsi:type="dcterms:W3CDTF">2026-06-26T16:28:57.096Z</dcterms:modified>
</cp:coreProperties>
</file>

<file path=docProps/custom.xml><?xml version="1.0" encoding="utf-8"?>
<Properties xmlns="http://schemas.openxmlformats.org/officeDocument/2006/custom-properties" xmlns:vt="http://schemas.openxmlformats.org/officeDocument/2006/docPropsVTypes"/>
</file>