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Advanced posture checks and custom remediation — diagram spec</w:t>
      </w:r>
    </w:p>
    <w:p>
      <w:r>
        <w:t xml:space="preserve">Companion to the dev-docs guide “Configure advanced posture checks and custom remediation.” The rendered diagram ships as posture-check-remediation-flow.svg in the same folder.</w:t>
      </w:r>
    </w:p>
    <w:p>
      <w:pPr>
        <w:pStyle w:val="Heading1"/>
      </w:pPr>
      <w:r>
        <w:t xml:space="preserve">Recommendation</w:t>
      </w:r>
    </w:p>
    <w:p>
      <w:r>
        <w:t xml:space="preserve">Add a sequence diagram. The guide already lists the configuration objects in order (custom check → device assurance policy → app sign-in policy rule), so a static data-flow or entity diagram would largely restate the steps.</w:t>
      </w:r>
    </w:p>
    <w:p>
      <w:r>
        <w:t xml:space="preserve">The non-obvious part is the runtime: what happens across the user, the app, Okta, and Okta Verify when a user signs in, and where custom remediation appears when a check fails. A sequence diagram makes that ordered, cross-system interaction clear in a way prose can’t. Recommended type: sequence diagram.</w:t>
      </w:r>
    </w:p>
    <w:p>
      <w:pPr>
        <w:pStyle w:val="Heading1"/>
      </w:pPr>
      <w:r>
        <w:t xml:space="preserve">Participants</w:t>
      </w:r>
    </w:p>
    <w:p>
      <w:r>
        <w:t xml:space="preserve">• User (macOS device) — the person signing in on an enrolled macOS device.</w:t>
      </w:r>
    </w:p>
    <w:p>
      <w:r>
        <w:t xml:space="preserve">• App — the application protected by an app sign-in policy.</w:t>
      </w:r>
    </w:p>
    <w:p>
      <w:r>
        <w:t xml:space="preserve">• Okta — evaluates the app sign-in policy rule and the device assurance policy.</w:t>
      </w:r>
    </w:p>
    <w:p>
      <w:r>
        <w:t xml:space="preserve">• Okta Verify — runs the custom osquery check on the device and returns the result.</w:t>
      </w:r>
    </w:p>
    <w:p>
      <w:pPr>
        <w:pStyle w:val="Heading1"/>
      </w:pPr>
      <w:r>
        <w:t xml:space="preserve">Interaction steps</w:t>
      </w:r>
    </w:p>
    <w:p>
      <w:r>
        <w:t xml:space="preserve">1. User → App: Access the protected app.</w:t>
      </w:r>
    </w:p>
    <w:p>
      <w:r>
        <w:t xml:space="preserve">2. App → Okta: Redirect the user to sign in.</w:t>
      </w:r>
    </w:p>
    <w:p>
      <w:r>
        <w:t xml:space="preserve">3. Okta: Evaluate the app sign-in policy rule, including the attached device assurance policy.</w:t>
      </w:r>
    </w:p>
    <w:p>
      <w:r>
        <w:t xml:space="preserve">4. Okta → Okta Verify: Request the device posture for the custom checks in the policy.</w:t>
      </w:r>
    </w:p>
    <w:p>
      <w:r>
        <w:t xml:space="preserve">5. Okta Verify: Run the custom osquery check on the device.</w:t>
      </w:r>
    </w:p>
    <w:p>
      <w:r>
        <w:t xml:space="preserve">6. Okta Verify → Okta: Return the check result (for example, 1 for an enabled firewall).</w:t>
      </w:r>
    </w:p>
    <w:p>
      <w:r>
        <w:t xml:space="preserve">7. Okta: Compare the result against the value required by the device assurance policy.</w:t>
      </w:r>
    </w:p>
    <w:p>
      <w:pPr>
        <w:pStyle w:val="Heading2"/>
      </w:pPr>
      <w:r>
        <w:t xml:space="preserve">Branch A — device passes all checks</w:t>
      </w:r>
    </w:p>
    <w:p>
      <w:r>
        <w:t xml:space="preserve">8a. Okta → App: Grant access.</w:t>
      </w:r>
    </w:p>
    <w:p>
      <w:r>
        <w:t xml:space="preserve">9a. App → User: Open the app.</w:t>
      </w:r>
    </w:p>
    <w:p>
      <w:pPr>
        <w:pStyle w:val="Heading2"/>
      </w:pPr>
      <w:r>
        <w:t xml:space="preserve">Branch B — device fails a check</w:t>
      </w:r>
    </w:p>
    <w:p>
      <w:r>
        <w:t xml:space="preserve">8b. Okta → User: Deny access and return the custom remediation message and link.</w:t>
      </w:r>
    </w:p>
    <w:p>
      <w:r>
        <w:t xml:space="preserve">9b. User: The Sign-In Widget shows the custom remediation message and link from remediationSettings.</w:t>
      </w:r>
    </w:p>
    <w:p>
      <w:r>
        <w:t xml:space="preserve">10b. User: Fix the device, then sign in again.</w:t>
      </w:r>
    </w:p>
    <w:p>
      <w:pPr>
        <w:pStyle w:val="Heading1"/>
      </w:pPr>
      <w:r>
        <w:t xml:space="preserve">Notes for the renderer</w:t>
      </w:r>
    </w:p>
    <w:p>
      <w:r>
        <w:t xml:space="preserve">• Custom remediation appears only when the device assurance policy sets displayRemediationMode to SHOW. Pair it with a grace period so users have time to remediate.</w:t>
      </w:r>
    </w:p>
    <w:p>
      <w:r>
        <w:t xml:space="preserve">• Steps 8b–10b are the payoff of combining the two features: the custom check (advanced posture checks) detects the problem, and remediationSettings (custom remediation) tells the user how to fix it.</w:t>
      </w:r>
    </w:p>
    <w:p>
      <w:r>
        <w:t xml:space="preserve">• Keep step numbering and the alt frame (Branch A / Branch B) in the rendered version to match this spec and the guide.</w:t>
      </w:r>
    </w:p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after="240"/>
    </w:pPr>
    <w:rPr>
      <w:b/>
      <w:sz w:val="40"/>
      <w:color w:val="0F2C5C"/>
    </w:rPr>
  </w:style>
  <w:style w:type="paragraph" w:styleId="Heading1">
    <w:name w:val="heading 1"/>
    <w:pPr>
      <w:spacing w:before="240" w:after="120"/>
    </w:pPr>
    <w:rPr>
      <w:b/>
      <w:sz w:val="30"/>
      <w:color w:val="1662DD"/>
    </w:rPr>
  </w:style>
  <w:style w:type="paragraph" w:styleId="Heading2">
    <w:name w:val="heading 2"/>
    <w:pPr>
      <w:spacing w:before="160" w:after="80"/>
    </w:pPr>
    <w:rPr>
      <w:b/>
      <w:sz w:val="26"/>
      <w:color w:val="1D273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